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1F" w:rsidRPr="0043001F" w:rsidRDefault="0043001F" w:rsidP="0043001F">
      <w:pPr>
        <w:tabs>
          <w:tab w:val="center" w:pos="1701"/>
          <w:tab w:val="right" w:leader="underscore" w:pos="10206"/>
        </w:tabs>
        <w:spacing w:after="0" w:line="280" w:lineRule="exact"/>
        <w:ind w:right="5670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43001F" w:rsidRPr="0043001F" w:rsidRDefault="0043001F" w:rsidP="0043001F">
      <w:pPr>
        <w:tabs>
          <w:tab w:val="center" w:pos="1701"/>
          <w:tab w:val="right" w:leader="underscore" w:pos="10206"/>
        </w:tabs>
        <w:spacing w:after="0" w:line="280" w:lineRule="exact"/>
        <w:ind w:right="567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A44C26" w:rsidRPr="00A44C26" w:rsidRDefault="00A44C26" w:rsidP="00A44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A44C26" w:rsidRPr="00A44C26" w:rsidRDefault="00A44C26" w:rsidP="00A44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A44C26" w:rsidRPr="00A44C26" w:rsidRDefault="00A44C26" w:rsidP="00A44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A44C26" w:rsidRPr="00A44C26" w:rsidRDefault="00A44C26" w:rsidP="00A44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A44C26" w:rsidRPr="00A44C26" w:rsidRDefault="00A44C26" w:rsidP="00A44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A44C26" w:rsidRPr="00A44C26" w:rsidRDefault="00A44C26" w:rsidP="00A44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A44C26" w:rsidRPr="00A44C26" w:rsidRDefault="00A44C26" w:rsidP="00A44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A44C26" w:rsidRPr="00A44C26" w:rsidRDefault="00A44C26" w:rsidP="00A44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A44C26" w:rsidRPr="00A44C26" w:rsidRDefault="00A44C26" w:rsidP="00A44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</w:t>
      </w:r>
    </w:p>
    <w:p w:rsidR="00A44C26" w:rsidRPr="00A44C26" w:rsidRDefault="00A44C26" w:rsidP="00A44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A44C26" w:rsidRPr="00A44C26" w:rsidRDefault="00A44C26" w:rsidP="00A44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A44C26" w:rsidRPr="00A44C26" w:rsidRDefault="00A44C26" w:rsidP="00A44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C26" w:rsidRPr="00A44C26" w:rsidRDefault="00A44C26" w:rsidP="00A44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ПОСТАНОВЛЕНИЕ   </w:t>
      </w:r>
    </w:p>
    <w:p w:rsidR="00A44C26" w:rsidRPr="00A44C26" w:rsidRDefault="00A44C26" w:rsidP="00A44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C26" w:rsidRPr="00A44C26" w:rsidRDefault="00A44C26" w:rsidP="00A44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F22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F22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июля</w:t>
      </w: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2018 г.   №</w:t>
      </w:r>
      <w:r w:rsidR="00F61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43</w:t>
      </w: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проведения проверки инвестиционных проектов на предмет </w:t>
      </w:r>
      <w:proofErr w:type="gramStart"/>
      <w:r w:rsidRPr="0043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 использования средств бюджета сельского поселения</w:t>
      </w:r>
      <w:proofErr w:type="gramEnd"/>
      <w:r w:rsidRPr="0043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4C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муниципального района Большеглушицкий Самарской области, направляемых на капитальные вложения </w:t>
      </w:r>
    </w:p>
    <w:p w:rsidR="0043001F" w:rsidRPr="0043001F" w:rsidRDefault="0043001F" w:rsidP="0043001F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14 Федерального закона от 25.02.1999 № 39-ФЗ «Об инвестиционной деятельности в Российской Федерации, осуществляемой в форме капитальных вложений»,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Уставом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Большеглушицкий Самарской области, администрация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Большеглушицкий Самарской области </w:t>
      </w:r>
    </w:p>
    <w:p w:rsidR="0043001F" w:rsidRPr="0043001F" w:rsidRDefault="0043001F" w:rsidP="0043001F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3001F" w:rsidRPr="0043001F" w:rsidRDefault="0043001F" w:rsidP="0043001F">
      <w:pPr>
        <w:numPr>
          <w:ilvl w:val="0"/>
          <w:numId w:val="1"/>
        </w:numPr>
        <w:spacing w:after="0" w:line="32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300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Правила проведения проверки инвестиционных проектов на предмет </w:t>
      </w:r>
      <w:proofErr w:type="gramStart"/>
      <w:r w:rsidRPr="0043001F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использования средств бюджета сельского поселения</w:t>
      </w:r>
      <w:proofErr w:type="gramEnd"/>
      <w:r w:rsidRPr="004300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4C26">
        <w:rPr>
          <w:rFonts w:ascii="Times New Roman" w:eastAsia="Calibri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направляемых на капитальные вложения, согласно приложению к настоящему постановлению.</w:t>
      </w:r>
    </w:p>
    <w:p w:rsidR="0043001F" w:rsidRPr="0043001F" w:rsidRDefault="0043001F" w:rsidP="0043001F">
      <w:pPr>
        <w:numPr>
          <w:ilvl w:val="0"/>
          <w:numId w:val="1"/>
        </w:num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Установить, что Правила, предусмотренные пунктом 1 настоящего постановления, не распространяются на инвестиционные проекты, реализуемые в соответствии с концессионными соглашениями. </w:t>
      </w:r>
    </w:p>
    <w:p w:rsidR="0043001F" w:rsidRPr="0043001F" w:rsidRDefault="0043001F" w:rsidP="0043001F">
      <w:pPr>
        <w:numPr>
          <w:ilvl w:val="0"/>
          <w:numId w:val="1"/>
        </w:num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Александровские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в сети Интернет.</w:t>
      </w:r>
    </w:p>
    <w:p w:rsidR="0043001F" w:rsidRPr="0043001F" w:rsidRDefault="0043001F" w:rsidP="0043001F">
      <w:pPr>
        <w:numPr>
          <w:ilvl w:val="0"/>
          <w:numId w:val="1"/>
        </w:num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</w:t>
      </w: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</w:t>
      </w:r>
      <w:proofErr w:type="spellStart"/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А.И.Горшков</w:t>
      </w:r>
      <w:proofErr w:type="spell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3001F" w:rsidRPr="0043001F" w:rsidRDefault="0043001F" w:rsidP="0043001F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44C26" w:rsidRDefault="00A44C26" w:rsidP="00430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C26" w:rsidRDefault="00A44C26" w:rsidP="00430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C26" w:rsidRDefault="00A44C26" w:rsidP="00430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C26" w:rsidRDefault="00A44C26" w:rsidP="00430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01F" w:rsidRPr="00A44C26" w:rsidRDefault="0043001F" w:rsidP="00430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43001F" w:rsidRPr="00A44C26" w:rsidRDefault="0043001F" w:rsidP="00430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A44C26"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Большеглушицкий Самарской области «О порядке проведения проверки инвестиционных проектов на предмет </w:t>
      </w:r>
      <w:proofErr w:type="gramStart"/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использования средств бюджета сельского поселения</w:t>
      </w:r>
      <w:proofErr w:type="gramEnd"/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C26"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Большеглушицкий Самарской области, направляемых на капитальные вложения»</w:t>
      </w:r>
    </w:p>
    <w:p w:rsidR="0043001F" w:rsidRPr="00A44C26" w:rsidRDefault="0043001F" w:rsidP="00430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F22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ию</w:t>
      </w:r>
      <w:r w:rsidR="00A44C26"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2018 №</w:t>
      </w:r>
      <w:r w:rsidR="00F61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43</w:t>
      </w:r>
      <w:bookmarkStart w:id="0" w:name="_GoBack"/>
      <w:bookmarkEnd w:id="0"/>
    </w:p>
    <w:p w:rsidR="0043001F" w:rsidRPr="0043001F" w:rsidRDefault="0043001F" w:rsidP="00430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ПРОВЕРКИ ИНВЕСТИЦИОННЫХ ПРОЕКТОВ НА ПРЕДМЕТ </w:t>
      </w:r>
      <w:proofErr w:type="gramStart"/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ИСПОЛЬЗОВАНИЯ СРЕДСТВ БЮДЖЕТА СЕЛЬСКОГО ПОСЕЛЕНИЯ</w:t>
      </w:r>
      <w:proofErr w:type="gramEnd"/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БОЛЬШЕГЛУШИЦКИЙ САМАРСКОЙ ОБЛАСТИ, НАПРАВЛЯЕМЫХ НА КАПИТАЛЬНЫЕ ВЛОЖЕНИЯ</w:t>
      </w: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Правила)</w:t>
      </w:r>
    </w:p>
    <w:p w:rsidR="0043001F" w:rsidRPr="0043001F" w:rsidRDefault="0043001F" w:rsidP="00430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определяют порядок проведения проверки инвестиционных проектов, предусматривающих капитальные вложения в виде затрат на строительство, реконструкцию и техническое перевооружение объектов капитального строительства и (или) подготовку проектной документации и проведение инженерных изысканий, выполняемых для ее подготовки, финансируемых полностью или частично за счет средств бюджета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(далее – местного бюджета), на предмет эффективности использования средств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бюджета,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направляемых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капитальные вложения (далее - проверка).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предельным значениям оценки эффективности использования средств местного бюджета, направляемых на капитальные вложения в целях реализации указанного проекта.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Проверка проводится на стадии разработки муниципального правового акта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предусматривающего предоставление средств местного бюджета на реализацию инвестиционных проектов в следующих формах бюджетных ассигнований: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бюджетных инвестиций в объекты капитального строительства муниципальной собственности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бюджетных инвестиций юридическим лицам, не являющимся муниципальными учреждениями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или муниципальными унитарными предприятиями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в объекты капитального строительства, находящиеся в собственности указанных юридических лиц,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находящиеся в собственности таких дочерних обществ.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Проверка осуществляется в отношении инвестиционных проектов, указанных в пункте 1.1 настоящих Правил, в случае, если их сметная стоимость превышает сто миллионов рублей. 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осуществляется администрацией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в соответствии с методикой оценки эффективности использования средств местного бюджета, направляемых на капитальные вложения, содержащейся в приложении 4 к настоящим Правилам (далее - методика).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предполагаемым ответственным исполнителем муниципальной программы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 или участником муниципальной программы (подпрограммы)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области, в рамках которой планируется осуществлять бюджетные инвестиции (далее - муниципальная программа), а по инвестиционным проектам, не включенным в муниципальные программы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, - главным распорядителем средств местного бюджета (далее - заявители).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Интегральная оценка проводится в отношении инвестиционных проектов, указанных в пункте 1.1 настоящих Правил, независимо от их сметной стоимости. Результаты интегральной оценки, проведенной заявителем, и исходные данные для ее проведения представляются в администрацию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 для информации.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Плата за проведение проверки не взимается.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Администрация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 ведет реестр инвестиционных проектов, получивших положительное заключение администрации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Самарской области об эффективности использования средств местного бюджета, направляемых на капитальные вложения, в порядке,</w:t>
      </w:r>
      <w:r w:rsidRPr="0043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содержащемся в приложении 5 к настоящим Правилам.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Критерии оценки эффективности использования средств местного бюджета, направляемых на капитальные вложения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Проверка осуществляется на основе следующих качественных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эффективности использования средств местного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направляемых на капитальные вложения (далее - качественные показатели):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четко сформулированной цели инвестиционного проекта с определением количественного критерия (критериев) результатов его осуществления;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соответствие цели инвестиционного проекта приоритетам и целям, определенным в муниципальных программах, прогнозах и стратегии социально-экономического развития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комплексный подход к решению конкретной проблемы в рамках инвестиционного проекта во взаимосвязи с мероприятиями, предусмотренными муниципальными программами;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органами местного самоуправления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 полномочий, отнесенных к предмету их ведения;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обоснование необходимости реализации инвестиционного проекта с привлечением средств местного бюджета;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43001F" w:rsidRPr="0043001F" w:rsidRDefault="0043001F" w:rsidP="004300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Инвестиционные проекты, соответствующие качественным критериям, подлежат дальнейшей проверке на основании следующих количественных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оценки эффективности использования средств местного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направляемых на капитальные вложения (далее - количественные критерии):</w:t>
      </w:r>
    </w:p>
    <w:p w:rsidR="0043001F" w:rsidRPr="0043001F" w:rsidRDefault="0043001F" w:rsidP="004300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значения количественных критериев (критерия) результатов реализации инвестиционного проекта;</w:t>
      </w:r>
    </w:p>
    <w:p w:rsidR="0043001F" w:rsidRPr="0043001F" w:rsidRDefault="0043001F" w:rsidP="004300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отношение сметной стоимости инвестиционного проекта к значениям количественных критериев (критерия) результатов реализации инвестиционного проекта;</w:t>
      </w:r>
    </w:p>
    <w:p w:rsidR="0043001F" w:rsidRPr="0043001F" w:rsidRDefault="0043001F" w:rsidP="004300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изменение уровня обеспеченности населения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 определенным видом продукции (услуг), создаваемой в результате реализации инвестиционного проекта;</w:t>
      </w:r>
    </w:p>
    <w:p w:rsidR="0043001F" w:rsidRPr="0043001F" w:rsidRDefault="0043001F" w:rsidP="004300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43001F" w:rsidRPr="0043001F" w:rsidRDefault="0043001F" w:rsidP="0043001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обеспеченность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 количественному критерию, предусмотренному подпунктом «б» пункта 2.2 настоящих Правил,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или территориальный реестр сметных нормативов, а в случае ее отсутствия - путем сравнения с аналогичными проектами.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проверки по количественному критерию, предусмотренному подпунктом «б» пункта 2.2 настоящих Правил, путем сравнения с аналогичными проектами заявитель представляет документально подтвержденные сведения о проектах-аналогах, реализуемых (или реализованных) в Самарской области. В случае отсутствия проектов-аналогов, реализуемых на территории Самарской области, представляются сведения о проектах-аналогах, реализуемых (или реализованных) на территории Российской Федерации или в иностранном государстве. При выборе проекта-аналога заявитель должен обеспечить максимальное совпадение характеристик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Инвестиционные проекты, прошедшие проверку на основании качественных и количественных критериев, подлежат дальнейшей проверке в соответствии с методикой.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проведения проверки инвестиционных проектов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Заявители представляют в администрацию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 подписанные руководителем заявителя (уполномоченным им лицом) и заверенные печатью следующие документы: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на проведение проверки, согласно приложению 1 к настоящим Правилам;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паспорт инвестиционного проекта, заполненный по форме, согласно приложению 2 к настоящим Правилам;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обоснование экономической целесообразности, объема и сроков осуществления капитальных вложений в соответствии с пунктом 3.3 настоящих Правил;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задание на проектирование в соответствии с пунктом 3.4 настоящих Правил;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копию разрешения на строительство;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копию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копию положительного заключения о достоверности сметной стоимости инвестиционного проекта;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документальное подтверждение каждым участником реализации инвестиционного проекта осуществления финансирования (</w:t>
      </w:r>
      <w:proofErr w:type="spell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этого проекта и намечаемого размера финансирования (</w:t>
      </w:r>
      <w:proofErr w:type="spell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к) исходные данные для интегральной оценки эффективности, включая количественные и качественные критерии, а также расчет эффективности, проведенный заявителем в соответствии с методикой.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Документы, указанные в подпунктах "д" - "з" пункта 3.1 настоящих Правил, не представляются в отношении инвестиционных проектов,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33"/>
      <w:bookmarkEnd w:id="1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Обоснование экономической целесообразности, объема и сроков осуществления капитальных вложений включает в себя: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инвестиционного проекта;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цель и задачи инвестиционного проекта;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источники и объемы финансирования инвестиционного проекта по годам его реализации;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 подготовки и реализации инвестиционного проекта;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документации, а также проведения инженерных изысканий, выполняемых с целью подготовки такой проектной документации;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Задание на проектирование объекта капитального строительства включает в себя: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 технико-экономические характеристики объекта капитального строительства;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подготовки проектной документации применительно к отдельным этапам строительства;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и этапы строительства;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дополнительные данные.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Основаниями для отказа в принятии документов, необходимых для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проверки, являются: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непредставление полного комплекта документов, предусмотренных настоящими Правилами; 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несоответствие паспорта инвестиционного проекта требованиям к его содержанию и заполнению;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несоответствие значения интегральной оценки, рассчитанного заявителем, требованиям настоящих Правил и методики.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 случае если недостатки, содержащиеся в представленных документах, могут быть устранены без отказа в принятии документов, администрация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 устанавливает заявителю для их устранения срок, не превышающий 30 дней.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Проведение проверки начинается после представления заявителем документов, предусмотренных пунктами 3.1 и 3.2 настоящих Правил, и завершается направлением (вручением) заявителю заключения об эффективности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Проверка инвестиционного проекта, не соответствующего качественным критериям, на соответствие его количественным показателям и проверка правильности оценки заявителем эффективности этого проекта не проводятся.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Срок проведения проверки, подготовки и выдачи заключения не должен превышать 30 дней.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Выдача заключения о результатах проверки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Результатом проверки является заключение администрации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вложения, составленное по форме согласно приложению 3 к настоящим Правилам.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Положительное заключение является обязательным документом, необходимым для принятия решения о предоставлении средств местного бюджета, направляемых на реализацию рассматриваемого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осуществляются в соответствии с этим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инвестиционным проектом, или изменились критерии, предусмотренные подпунктами «а» - «в» пункта 2.2 настоящих Правил, то в отношении такого проекта проводится повторная проверка в соответствии с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настоящими Правилами.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заключение, полученное в соответствии с абзацем вторым пункта 4.2 настоящих Правил, является основанием для подготовки предложения об отмене ранее принятого решения о дальнейшем предоставлении средств местного бюджета на реализацию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Заключение подписывается главой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 или уполномоченным им должностным лицом.</w:t>
      </w:r>
    </w:p>
    <w:p w:rsidR="0043001F" w:rsidRPr="0043001F" w:rsidRDefault="0043001F" w:rsidP="0043001F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26" w:rsidRDefault="00A44C26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26" w:rsidRDefault="00A44C26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26" w:rsidRDefault="00A44C26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26" w:rsidRDefault="00A44C26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26" w:rsidRPr="0043001F" w:rsidRDefault="00A44C26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A44C26" w:rsidRDefault="0043001F" w:rsidP="004300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43001F" w:rsidRPr="00A44C26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Правилам проведения проверки инвестиционных проектов на предмет </w:t>
      </w:r>
      <w:proofErr w:type="gramStart"/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использования средств бюджета сельского поселения</w:t>
      </w:r>
      <w:proofErr w:type="gramEnd"/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C26"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Pr="00A4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Большеглушицкий Самарской области, направляемых на капитальные вложения</w:t>
      </w:r>
    </w:p>
    <w:p w:rsidR="0043001F" w:rsidRPr="00A44C26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проверки инвестиционного проекта на предмет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бюджета сельского поселения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области, направляемых на капитальные вложения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провести проверку инвестиционного проекта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(титульное название объекта)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бюджета сельского поселения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области, направляемых на капитальные вложения.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документов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20__ г.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    _____________       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(подпись)              (расшифровка подписи)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26" w:rsidRDefault="00A44C26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26" w:rsidRDefault="00A44C26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26" w:rsidRDefault="00A44C26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26" w:rsidRPr="0043001F" w:rsidRDefault="00A44C26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Правилам проведения проверки инвестиционных проектов на предмет </w:t>
      </w:r>
      <w:proofErr w:type="gramStart"/>
      <w:r w:rsidRPr="0043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использования средств бюджета сельского поселения</w:t>
      </w:r>
      <w:proofErr w:type="gramEnd"/>
      <w:r w:rsidRPr="0043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3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Большеглушицкий Самарской области, направляемых на капитальные вложения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78"/>
      <w:bookmarkEnd w:id="2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проекта, представляемого для проведения проверки инвестиционных проектов на предмет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бюджета сельского поселения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области, направляемых на капитальные вложения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инвестиционного проекта 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инвестиционного проекта __________________________________ 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реализации инвестиционного проекта ________________________ 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Форма    реализации   инвестиционного   проекта   (строительство, реконструкция   объекта   капитального  строительства,  иные  инвестиции  в основной капитал) ____________________________________________________ 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Главный распорядитель средств местного бюджета 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6.    Сведения    о    предполагаемом    застройщике    или   заказчике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заказчике-застройщике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 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(полное  и  сокращенное  наименование юридического лица) ____________________________________________________________________ (организационно-правовая форма юридического лица)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(юридический адрес)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(должность, Ф.И.О. руководителя юридического лица)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Участники инвестиционного проекта: ____________________________ 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Наличие проектной документации по инвестиционному проекту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(ссылка на подтверждающий документ)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9.   Наличие положительного  заключения государственной экспертизы проектной документации и результатов инженерных изысканий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(ссылка на подтверждающий документ, копия заключения прилагается)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06"/>
      <w:bookmarkEnd w:id="3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&lt;*&gt;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(ссылка на подтверждающий документ, копия заключения прилагается)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 года  ее  определения - 20___г.) _________ в млн. рублей (включая НДС/без НДС – нужное подчеркнуть) /а также рассчитанная в ценах соответствующих лет ___________________________________________, в том числе  затраты  на  подготовку  проектной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(указываются в ценах года представления паспорта инвестиционного проекта, а также рассчитанные в ценах соответствующих лет), млн. рублей &lt;**&gt;: ___________________________________________________________________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Технологическая структура капитальных вложений: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7"/>
      </w:tblGrid>
      <w:tr w:rsidR="0043001F" w:rsidRPr="0043001F" w:rsidTr="00F411A9">
        <w:tc>
          <w:tcPr>
            <w:tcW w:w="5102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Сметная стоимость, включая НДС,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текущих ценах &lt;***&gt; / в ценах соответствующих лет (млн. рублей)</w:t>
            </w:r>
          </w:p>
        </w:tc>
      </w:tr>
      <w:tr w:rsidR="0043001F" w:rsidRPr="0043001F" w:rsidTr="00F411A9">
        <w:tc>
          <w:tcPr>
            <w:tcW w:w="5102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Сметная стоимость инвестиционного проекта</w:t>
            </w:r>
          </w:p>
        </w:tc>
        <w:tc>
          <w:tcPr>
            <w:tcW w:w="4537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01F" w:rsidRPr="0043001F" w:rsidTr="00F411A9">
        <w:tc>
          <w:tcPr>
            <w:tcW w:w="5102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4537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01F" w:rsidRPr="0043001F" w:rsidTr="00F411A9">
        <w:tc>
          <w:tcPr>
            <w:tcW w:w="5102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строительно-монтажные работы</w:t>
            </w:r>
          </w:p>
        </w:tc>
        <w:tc>
          <w:tcPr>
            <w:tcW w:w="4537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01F" w:rsidRPr="0043001F" w:rsidTr="00F411A9">
        <w:tc>
          <w:tcPr>
            <w:tcW w:w="5102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машин и оборудования, из них дорогостоящие и (или) импортные машины и оборудование</w:t>
            </w:r>
          </w:p>
        </w:tc>
        <w:tc>
          <w:tcPr>
            <w:tcW w:w="4537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01F" w:rsidRPr="0043001F" w:rsidTr="00F411A9">
        <w:tc>
          <w:tcPr>
            <w:tcW w:w="5102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4537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001F" w:rsidRPr="0043001F" w:rsidSect="00511F78">
          <w:pgSz w:w="11906" w:h="16838"/>
          <w:pgMar w:top="851" w:right="850" w:bottom="993" w:left="1418" w:header="708" w:footer="708" w:gutter="0"/>
          <w:cols w:space="708"/>
          <w:docGrid w:linePitch="360"/>
        </w:sect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Источники и объемы финансирования инвестиционного проекта, млн. рублей: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552"/>
        <w:gridCol w:w="2409"/>
        <w:gridCol w:w="2552"/>
      </w:tblGrid>
      <w:tr w:rsidR="0043001F" w:rsidRPr="0043001F" w:rsidTr="00F411A9">
        <w:tc>
          <w:tcPr>
            <w:tcW w:w="2410" w:type="dxa"/>
            <w:vMerge w:val="restart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реализации инвестиционного проекта</w:t>
            </w:r>
          </w:p>
        </w:tc>
        <w:tc>
          <w:tcPr>
            <w:tcW w:w="2552" w:type="dxa"/>
            <w:vMerge w:val="restart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Сметная стоимость инвестиционного проекта (в текущих ценах &lt;***&gt;/ в ценах соответствующих лет)</w:t>
            </w:r>
          </w:p>
        </w:tc>
        <w:tc>
          <w:tcPr>
            <w:tcW w:w="10064" w:type="dxa"/>
            <w:gridSpan w:val="4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инвестиционного проекта</w:t>
            </w:r>
          </w:p>
        </w:tc>
      </w:tr>
      <w:tr w:rsidR="0043001F" w:rsidRPr="0043001F" w:rsidTr="00F411A9">
        <w:tc>
          <w:tcPr>
            <w:tcW w:w="2410" w:type="dxa"/>
            <w:vMerge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 (в текущих ценах &lt;***&gt;/ в ценах соответствующих лет)</w:t>
            </w:r>
          </w:p>
        </w:tc>
        <w:tc>
          <w:tcPr>
            <w:tcW w:w="2552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(в текущих ценах &lt;***&gt;/ в ценах соответствующих лет)</w:t>
            </w:r>
          </w:p>
        </w:tc>
        <w:tc>
          <w:tcPr>
            <w:tcW w:w="2409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(в текущих ценах &lt;***&gt;/ в ценах соответствующих лет)</w:t>
            </w:r>
          </w:p>
        </w:tc>
        <w:tc>
          <w:tcPr>
            <w:tcW w:w="2552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внебюджетные источники финансирования (в текущих ценах &lt;***&gt;/ в ценах соответствующих лет)</w:t>
            </w:r>
          </w:p>
        </w:tc>
      </w:tr>
      <w:tr w:rsidR="0043001F" w:rsidRPr="0043001F" w:rsidTr="00F411A9">
        <w:tc>
          <w:tcPr>
            <w:tcW w:w="2410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3001F" w:rsidRPr="0043001F" w:rsidTr="00F411A9">
        <w:tc>
          <w:tcPr>
            <w:tcW w:w="2410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Инвестиционный проект - всего,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__ год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__ год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__ год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I (пусковой комплекс) - всего,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__ год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__ год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__ год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II (пусковой комплекс) - всего,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__ год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__ год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__ год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____ (пусковой комплекс) - всего,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__ год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__ год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__ год</w:t>
            </w:r>
          </w:p>
        </w:tc>
        <w:tc>
          <w:tcPr>
            <w:tcW w:w="2552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001F" w:rsidRPr="0043001F" w:rsidSect="00774979">
          <w:pgSz w:w="16838" w:h="11905" w:orient="landscape"/>
          <w:pgMar w:top="1418" w:right="1134" w:bottom="850" w:left="1134" w:header="0" w:footer="0" w:gutter="0"/>
          <w:cols w:space="720"/>
        </w:sect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  Количественные  показатели  (показатель)  результатов  реализации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инвестиционного  проекта  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 &lt;***&gt; _________________________________________________________.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        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(фамилия, имя, отчество)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 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(должность)                      (подпись)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«___» ____________ 20 ____ г.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М.П.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Не заполняется по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или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объектов.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Заполняется по инвестиционным проектам, предусматривающим финансирование подготовки проектной документации за счет средств местного бюджета.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&lt;***&gt; В ценах года расчета сметной стоимости, указанного в пункте 10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001F" w:rsidRPr="0043001F" w:rsidSect="00CE57DD">
          <w:pgSz w:w="16838" w:h="11906" w:orient="landscape"/>
          <w:pgMar w:top="1418" w:right="962" w:bottom="1134" w:left="851" w:header="709" w:footer="709" w:gutter="0"/>
          <w:cols w:space="708"/>
          <w:docGrid w:linePitch="360"/>
        </w:sect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Правилам проведения проверки инвестиционных проектов на предмет </w:t>
      </w:r>
      <w:proofErr w:type="gramStart"/>
      <w:r w:rsidRPr="0043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использования средств бюджета сельского поселения</w:t>
      </w:r>
      <w:proofErr w:type="gramEnd"/>
      <w:r w:rsidRPr="0043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3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Большеглушицкий Самарской области, направляемых на капитальные вложения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инвестиционного проекта на предмет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бюджета сельского поселения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области, направляемых на капитальные вложения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Сведения об инвестиционном проекте,  по  которому  осуществлена проверка  на  предмет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использования средств бюджета</w:t>
      </w:r>
      <w:r w:rsidRPr="0043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области, направляемых на капитальные вложения: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инвестиционного проекта: 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 средств местного бюджета: ____________________________________________________________________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(застройщик): 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инвестиционного проекта: 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   количественных    показателей    (показателя)    реализации инвестиционного   проекта   с   указанием   единиц   измерения  показателей (показателя): __________________________________________________________________ _________________________________________________________________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стоимость инвестиционного проекта всего в ценах соответствующих лет (в тыс. рублей): _________________________________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2.   Оценка   эффективности  использования  средств  местного  бюджета, направляемых на капитальные вложения по инвестиционному проекту: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качественных показателей (критериев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), %: __________________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количественных показателей (критериев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), %: _______________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отдельным критериям: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, %: _______________________;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 уровня  обеспеченности  населения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Большеглушицкий Самарской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определенным видом продукции  (услуг), создаваемой в результате реализации инвестиционного проекта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, %: _________________________________________________________________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интегральной оценки эффективности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, %: ____________________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Заключение о результатах проверки инвестиционного проекта на предмет эффективности  использования  средств  местного  бюджета,  направляемых  на капитальные вложения: превышение предельного значения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(_____%) 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интегральной оценки эффективности инвестиционного проекта (наименование проекта) свидетельствует об эффективности данного инвестиционного проекта и целесообразности его финансирования за счет средств местного бюджета.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области___________________________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(подпись)             (Ф.И.О.)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                                        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«____» ___________ 20___ г.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0F" w:rsidRDefault="00F2260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0F" w:rsidRDefault="00F2260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0F" w:rsidRDefault="00F2260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0F" w:rsidRDefault="00F2260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0F" w:rsidRDefault="00F2260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0F" w:rsidRDefault="00F2260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0F" w:rsidRDefault="00F2260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0F" w:rsidRPr="0043001F" w:rsidRDefault="00F2260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Правилам проведения проверки инвестиционных проектов на предмет </w:t>
      </w:r>
      <w:proofErr w:type="gramStart"/>
      <w:r w:rsidRPr="0043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эффективности использования средств бюджета сельского поселения</w:t>
      </w:r>
      <w:proofErr w:type="gramEnd"/>
      <w:r w:rsidRPr="0043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30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Большеглушицкий Самарской области, направляемых на капитальные вложения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185"/>
      <w:bookmarkEnd w:id="4"/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</w:t>
      </w:r>
      <w:proofErr w:type="gramStart"/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ИСПОЛЬЗОВАНИЯ СРЕДСТВ БЮДЖЕТА СЕЛЬСКОГО ПОСЕЛЕНИЯ</w:t>
      </w:r>
      <w:proofErr w:type="gramEnd"/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ОБЛАСТИ, НАПРАВЛЯЕМЫХ НА КАПИТАЛЬНЫЕ ВЛОЖЕНИЯ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предназначена для оценки эффективности использования средств бюджета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направляемых на капитальные вложения (далее, соответственно – местный бюджет, оценка эффективности), по инвестиционным проектам, предусматривающим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счет средств местного бюджета (далее - инвестиционный проект).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Настоящая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порядок определения баллов оценки качественных критериев и оценки эффективности на основе качественных критериев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Оценка эффективности осуществляется на основе следующих качественных критериев: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соответствие цели инвестиционного проекта приоритетам и целям, определенным в муниципальных программах, прогнозах и стратегии социально-экономического развития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комплексный подход к решению конкретной проблемы в рамках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инвестиционного проекта во взаимосвязи с мероприятиями, предусмотренными федеральными, государственными и муниципальными программами;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органами местного самоуправления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полномочий, отнесенных к их компетенции;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обоснование необходимости реализации инвестиционного проекта с привлечением средств местного бюджета;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социальная значимость объекта капитального строительства, создаваемого в рамках инвестиционного проекта;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Оценка эффективности на основе качественных критериев (Ч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Сумма б</w:t>
      </w:r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100% / (К</w:t>
      </w:r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</w:t>
      </w:r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1нп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i=1 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балл оценки i-</w:t>
      </w:r>
      <w:proofErr w:type="spell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критерия;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число качественных критериев;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1нп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критериев, не применимых к проверяемому инвестиционному проекту.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Требования к определению баллов оценки по каждому из качественных критериев установлены пунктами 2.4 - 2.11 настоящей Методики.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значения баллов оценки по каждому из качественных критериев приведены в графе «Допустимые баллы оценки» таблицы 1 «Оценка соответствия инвестиционного проекта качественным критериям» приложения 1 к настоящей Методике.</w:t>
      </w:r>
    </w:p>
    <w:p w:rsidR="0043001F" w:rsidRPr="0043001F" w:rsidRDefault="0043001F" w:rsidP="0043001F">
      <w:pPr>
        <w:widowControl w:val="0"/>
        <w:tabs>
          <w:tab w:val="left" w:pos="21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p w:rsidR="0043001F" w:rsidRPr="0043001F" w:rsidRDefault="0043001F" w:rsidP="0043001F">
      <w:pPr>
        <w:widowControl w:val="0"/>
        <w:tabs>
          <w:tab w:val="left" w:pos="21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социально-экономические результаты реализации инвестиционного проекта - эффект для потребителей, населения, получаемый от товаров, работ или услуг, произведенных после реализации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показатели, характеризующие конечные социально-экономические результаты реализации инвестиционного проекта по различным видам деятельности и типам проектов, приведены в приложении 3 к настоящей Методике. Заявитель вправе определить иные показатели с учетом специфики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Критерий - соответствие цели инвестиционного проекта приоритетам и целям, определенным в муниципальных программах, прогнозах и стратегии социально-экономического развития</w:t>
      </w:r>
      <w:r w:rsidRPr="0043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Критерий - комплексный подход к решению конкретной проблемы в рамках инвестиционного проекта во взаимосвязи с мероприятиями, предусмотренными федеральными, государственными и муниципальными программами.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программы, а также наименование программного мероприятия, выполнение которого обеспечит осуществление инвестиционного проекта;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Критерий - необходимость строительства (реконструкции или технического перевооружения) объекта капитального строительства, создаваемого в рамках инвестиционного проекта, в связи с осуществлением органами местного самоуправления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полномочий,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отнесенных к их компетенции.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равный 1, присваивается при наличии обоснования невозможности осуществления органами местного самоуправления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полномочий, отнесенных к их компетенции: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без строительства объекта капитального строительства, создаваемого в рамках инвестиционного проекта;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реализации инвестиционного проекта: указание степени изношенности конструкций, обоснование необходимости замены действующего и/или приобретения нового оборудования).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Критерий - обоснование необходимости реализации инвестиционного проекта с привлечением средств местного бюджета.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равный 1, присваивается в случае, если строительство (реконструкция, техническое перевооружение) объекта капитального строительства, создаваемого в рамках инвестиционного проекта, предусмотрено проектами муниципальных программ, решение о разработке которых принято, либо предусмотрено постановлениями администрации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области. Заявителем указываются наименование и реквизиты соответствующих документов.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инвестиционным проектам, финансирование которых планируется осуществлять частично за счет средств местного бюджета, балл, равный 1, присваивается при его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следующим требованиям: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документального подтверждения каждого участника реализации инвестиционного проекта об осуществлении финансирования (</w:t>
      </w:r>
      <w:proofErr w:type="spell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инвестиционного проекта с указанием объема и сроков финансирования (</w:t>
      </w:r>
      <w:proofErr w:type="spell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соответствие предполагаемого объема и сроков </w:t>
      </w:r>
      <w:proofErr w:type="spell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 представленных документах объему и срокам </w:t>
      </w:r>
      <w:proofErr w:type="spell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паспортом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не применим в отношении инвестиционных проектов, планирующих строительство (реконструкцию, техническое перевооружение) объектов капитального строительства муниципальной собственности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Критерий - социальная значимость объекта капитального строительства, создаваемого в рамках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равный 1, присваивается в случае, если заявителем приведено обоснование, подтверждающее наличие не менее одного из следующих положительных социальных эффектов: повышения уровня занятости населения в трудоспособном возрасте; повышение уровня обеспеченности населения благоустроенным жильем; улучшение состояния окружающей среды; повышение доступности и качества услуг населению в сфере транспорта, здравоохранения, образования, физической культуры и спорта,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культуры, жилищно-коммунального хозяйства.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-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изысканий.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соответствия инвестиционного проекта указанному критерию (балл, равный 1) являются: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проектов, проектная документация которых разработана и утверждена застройщиком (заказчиком)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Критерий не применим к инвестиционным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местного бюджета на условиях </w:t>
      </w:r>
      <w:proofErr w:type="spell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инвестиционных проектов, проектная документация по которым будет разработана без использования средств местного бюджета.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Подтверждением указанного положения является согласованное с администрацией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задание на проектирование объекта капитального строительства, создаваемого в рамках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Критерий -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соответствия инвестиционного проекта указанному критерию (балл, равный 1)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строительства, предусмотренных инвестиционным проектом с указанием соответствующих реквизитов: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инвестиционных проектов, не требующих получения заключения государственной экспертизы проектной документации и результатов инженерных изысканий;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для инвестиционных проектов, проектная документация которых имеет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положительное заключение государственной экспертизы, но требуется корректировка сметной стоимости объекта капитального строительства в связи с изменением периода строительства.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не применим к инвестиционным проектам, по которым имеются положительные заключения государственной экспертизы проектной документации и результатов инженерных изысканий, предусматривающие оценку достоверности сметной стоимости объекта.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Оценка эффективности осуществляется на основе следующих количественных критериев: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значения количественных показателей (показателя) результатов реализации инвестиционного проекта;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изменение уровня обеспеченности населения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определенным видом продукции (услуг), создаваемой в результате реализации инвестиционного проекта;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Оценка эффективности на основе количественных критериев (Ч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Сумма б</w:t>
      </w:r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Р</w:t>
      </w:r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2i=1 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б2i - балл оценки i-</w:t>
      </w:r>
      <w:proofErr w:type="spell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количественного критерия;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весовой коэффициент i-</w:t>
      </w:r>
      <w:proofErr w:type="spell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количественного критерия, в процентах;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число количественных критериев.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весовых коэффициентов по всем количественным критериям составляет 100%.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Требования к определению баллов оценки по каждому из количественных критериев установлены пунктами 3.4-3.8 настоящей Методики.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весовых коэффициентов количественных критериев в зависимости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типа инвестиционного проекта, устанавливаемые в целях настоящей Методики, приведены в приложении 2 к настоящей Методике.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значения баллов оценки по каждому из количественных критериев приведены в графе «Допустимые баллы оценки» таблицы 2 «Оценка соответствия инвестиционного проекта количественным критериям» приложения 1 к настоящей Методике.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430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- значения количественных показателей (показателя) результатов реализации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присвоения балла, равного 1, представленные заявителем в паспорте инвестиционного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значения количественных показателей результатов его реализации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отвечать следующим требованиям: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 и т.д.) с указанием единиц измерения в соответствии с Общероссийским классификатором единиц измерения;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не менее одного показателя, характеризующего конечные социально-экономические результаты реализации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Критерий -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- в ценах года представления паспорта инвестиционного проекта (с указанием года ее определения).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равный 1, присваивается инвестиционному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инвестиционного проекта не превышает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 случае ее отсутствия - значение отношения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сметной стоимости объекта капитального строительства к количественным показателям (показателю) по проектам-аналогам.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равный 0,5, присваивается инвестиционному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инвестиционного проекта превышает не более чем на 5 процентов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 сметных нормативов, а в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отсутствия - значение отношения сметной стоимости объекта капитального строительства к количественным показателям (показателю) по проектам-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аналогам.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равный 0, присваивается инвестиционному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инвестиционного проекта превышает более чем на 5 процентов хотя бы по одному показателю сметную норму, определяющую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включенную в установленном порядке в федеральный или территориальный реестр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сметных нормативов, а в случае ее отсутствия - значение отношения сметной стоимости объекта капитального строительства к количественным показателям (показателю) по проектам-аналогам.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и доведенных до федеральных органов исполнительной власти после утверждения Правительством Российской Федерации.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Критерий - изменение уровня обеспеченности населения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определенным видом продукции (услуг), создаваемой в результате реализации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указанного критерия заявитель использует статистические данные обеспеченности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на территории которого реализуется инвестиционный проект (далее – сельское поселение), определенным видом продукции (услуг) за последний отчетный период с учетом прироста уровня обеспеченности от реализации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равный 1, присваивается инвестиционному проекту, если уровень обеспеченности сельского поселения определенным видом продукции (услуг) после реализации инвестиционного проекта достигает или превышает </w:t>
      </w:r>
      <w:proofErr w:type="spell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среднерайонное</w:t>
      </w:r>
      <w:proofErr w:type="spell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значение, но не превышает нормативное значение, закрепленное в соответствующих документах.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равный 0,5, присваивается инвестиционному проекту, если уровень обеспеченности сельского поселения определенным видом продукции (услуг) после реализации инвестиционного проекта возрастает, но при этом не достигает </w:t>
      </w:r>
      <w:proofErr w:type="spell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среднерайонного</w:t>
      </w:r>
      <w:proofErr w:type="spell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равный 0, присваивается инвестиционному проекту, если уровень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обеспеченности сельского поселения определенным видом продукции (услуг) после реализации инвестиционного проекта превышает нормативное значение.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равный 1, присваивается инвестиционному проекту также в случае, если в рамках инвестиционного проекта предполагается производство импортозамещающей продукции (работ, услуг). Для обоснования соответствия критерию заявитель указывает объемы, основные характеристики аналогичной импортируемой продукции.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строительства.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равный 1, присваивается инвестиционному проекту, если потребность в данной продукции (услугах) превышает или обеспечивается уровнем использования 100 процентов проектной мощности создаваемого (реконструируемого) в рамках реализации инвестиционного проекта объекта капитального строительства.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равный 0,5, присваивается инвестиционному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75 процентов проектной мощности.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равный 0, присваивается инвестиционному проекту,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Критерий -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приводит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равный 1, присваивается инвестиционному проекту в случаях: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на площадке, отводимой под предлагаемое строительство, уже имеются все виды инженерной и транспортной инфраструктуры в необходимых объемах;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работы, строительство дорог и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т.д.).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равный 0,5, присваивается инвестиционному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Балл, равный 0, присваивается инвестиционному проекту,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Средневзвешенный уровень обеспеченности инженерной и транспортной инфраструктурой рассчитывается (И):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= Сумма </w:t>
      </w:r>
      <w:proofErr w:type="spellStart"/>
      <w:r w:rsidRPr="00430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430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30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 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уровень обеспеченности </w:t>
      </w:r>
      <w:r w:rsidRPr="00430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-м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необходимой инженерной и транспортной инфраструктуры.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интегральной оценки эффективности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Интегральная оценка (</w:t>
      </w:r>
      <w:proofErr w:type="spell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инт</w:t>
      </w:r>
      <w:proofErr w:type="spell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инт</w:t>
      </w:r>
      <w:proofErr w:type="spell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Ч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0,2 + Ч</w:t>
      </w:r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0,8,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эффективности на основе качественных критериев;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оценка эффективности на основе количественных критериев;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интегральной оценки приведен в таблице 3 «Расчет интегральной оценки эффективности» приложения 1 к настоящей Методике.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установленному предельному значению свидетельствует об эффективности инвестиционного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и целесообразности его финансирования полностью или частично за счет средств местного бюджета.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001F" w:rsidRPr="0043001F" w:rsidSect="006C08E8">
          <w:pgSz w:w="11906" w:h="16838"/>
          <w:pgMar w:top="851" w:right="1418" w:bottom="964" w:left="1134" w:header="709" w:footer="709" w:gutter="0"/>
          <w:cols w:space="708"/>
          <w:docGrid w:linePitch="360"/>
        </w:sect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Методике </w:t>
      </w:r>
      <w:proofErr w:type="gramStart"/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эффективности использования средств бюджета сельского поселения</w:t>
      </w:r>
      <w:proofErr w:type="gramEnd"/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области, направляемых на капитальные вложения</w:t>
      </w: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интегральной оценки эффективности инвестиционного проекта</w:t>
      </w: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инвестиционного проекта: ____________________________________________________________________________</w:t>
      </w: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производства): ________________________________________________________________________________________________</w:t>
      </w: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 _______________________________________________________________________________________</w:t>
      </w: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инвестиционного проекта: _____________________________________________________________________________________</w:t>
      </w: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1 </w:t>
      </w: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инвестиционного проекта качественным критериям</w:t>
      </w: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382"/>
        <w:gridCol w:w="2551"/>
        <w:gridCol w:w="1633"/>
        <w:gridCol w:w="6022"/>
      </w:tblGrid>
      <w:tr w:rsidR="0043001F" w:rsidRPr="0043001F" w:rsidTr="00F411A9">
        <w:tc>
          <w:tcPr>
            <w:tcW w:w="438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300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82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551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Допустимые баллы оценки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«Критерий</w:t>
            </w:r>
          </w:p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применим»</w:t>
            </w:r>
          </w:p>
        </w:tc>
        <w:tc>
          <w:tcPr>
            <w:tcW w:w="1633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оценки (</w:t>
            </w:r>
            <w:proofErr w:type="spell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proofErr w:type="spellEnd"/>
            <w:proofErr w:type="gramEnd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Ссылки 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документальные</w:t>
            </w:r>
          </w:p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подтверждения</w:t>
            </w:r>
          </w:p>
        </w:tc>
      </w:tr>
      <w:tr w:rsidR="0043001F" w:rsidRPr="0043001F" w:rsidTr="00F411A9">
        <w:tc>
          <w:tcPr>
            <w:tcW w:w="438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2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четко сформулированной цели инвестиционного проекта с определением количественного показателя (показателей) </w:t>
            </w: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его осуществления</w:t>
            </w:r>
          </w:p>
        </w:tc>
        <w:tc>
          <w:tcPr>
            <w:tcW w:w="2551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43001F" w:rsidRPr="0043001F" w:rsidTr="00F411A9">
        <w:trPr>
          <w:trHeight w:val="74"/>
        </w:trPr>
        <w:tc>
          <w:tcPr>
            <w:tcW w:w="438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2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цели инвестиционного проекта приоритетам и целям, определенным в муниципальных программах, прогнозах и стратегии социально-экономического развития сельского поселения </w:t>
            </w:r>
            <w:r w:rsidR="00A4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 </w:t>
            </w:r>
          </w:p>
        </w:tc>
        <w:tc>
          <w:tcPr>
            <w:tcW w:w="2551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43001F" w:rsidRPr="0043001F" w:rsidTr="00F411A9">
        <w:trPr>
          <w:trHeight w:val="2548"/>
        </w:trPr>
        <w:tc>
          <w:tcPr>
            <w:tcW w:w="438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82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Комплексный подход к решению конкретной проблемы в рамках инвестиционного проекта во взаимосвязи с мероприятиями, предусмотренными федеральными, государственными и муниципальными программами</w:t>
            </w:r>
          </w:p>
        </w:tc>
        <w:tc>
          <w:tcPr>
            <w:tcW w:w="2551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инвестиционных проектов, включенных в программы, указываются цели, задачи, конкретные программные мероприятия.</w:t>
            </w: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инвестиционных проектов, не включенных в программы, указываются реквизиты документа, содержащего оценку влияния реализации инвестиционного проекта на комплексное развитие территорий.</w:t>
            </w:r>
          </w:p>
        </w:tc>
      </w:tr>
      <w:tr w:rsidR="0043001F" w:rsidRPr="0043001F" w:rsidTr="00F411A9">
        <w:trPr>
          <w:trHeight w:val="70"/>
        </w:trPr>
        <w:tc>
          <w:tcPr>
            <w:tcW w:w="438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2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органами местного самоуправления сельского поселения </w:t>
            </w:r>
            <w:r w:rsidR="00A4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 полномочий, отнесенных к их компетенции</w:t>
            </w: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3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невозможности осуществления органами местного самоуправления сельского поселения </w:t>
            </w:r>
            <w:r w:rsidR="00A4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 полномочий, отнесенных к предмету их ведения без реализации инвестиционного проекта </w:t>
            </w:r>
          </w:p>
        </w:tc>
      </w:tr>
      <w:tr w:rsidR="0043001F" w:rsidRPr="0043001F" w:rsidTr="00F411A9">
        <w:tc>
          <w:tcPr>
            <w:tcW w:w="438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2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необходимости реализации инвестиционного проекта с привлечением средств местного бюджета</w:t>
            </w:r>
          </w:p>
        </w:tc>
        <w:tc>
          <w:tcPr>
            <w:tcW w:w="2551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</w:t>
            </w: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Критерий не применим для объектов 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капитального строительства, относящихся к собственности сельского поселения </w:t>
            </w:r>
            <w:r w:rsidR="00A4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633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документов (договоров, протоколов, соглашений и т.п.), подтверждающих намерения участников инвестиционного проекта о его </w:t>
            </w:r>
            <w:proofErr w:type="spell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софинансировании</w:t>
            </w:r>
            <w:proofErr w:type="spellEnd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указанием планируемого объема капитальных вложений 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 стороны каждого участника</w:t>
            </w:r>
          </w:p>
        </w:tc>
      </w:tr>
      <w:tr w:rsidR="0043001F" w:rsidRPr="0043001F" w:rsidTr="00F411A9">
        <w:tc>
          <w:tcPr>
            <w:tcW w:w="438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82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значимость объекта капитального строительства, создаваемого в рамках инвестиционного проекта</w:t>
            </w: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</w:t>
            </w: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3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показатели социальной значимости инвестиционного проекта</w:t>
            </w:r>
          </w:p>
        </w:tc>
      </w:tr>
      <w:tr w:rsidR="0043001F" w:rsidRPr="0043001F" w:rsidTr="00F411A9">
        <w:tc>
          <w:tcPr>
            <w:tcW w:w="438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2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положительного заключения государственной 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экспертизы проектной документации и результатов инженерных изысканий в отношении объектов капитального строительства, предусмотренных инвестиционным проектом </w:t>
            </w:r>
          </w:p>
        </w:tc>
        <w:tc>
          <w:tcPr>
            <w:tcW w:w="2551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</w:t>
            </w: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Критерий не применим для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</w:t>
            </w: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Реквизиты положительного заключения государственной экспертизы проектной 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случае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проведение государственной экспертизы проектной документации не требуется:</w:t>
            </w: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ссылка на соответствующие пункты и подпункты статьи 49 Градостроительного кодекса Российской Федерации;</w:t>
            </w: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документальное подтверждение наличия согласования задания на разработку проектной документации с администрацией сельского поселения </w:t>
            </w:r>
            <w:r w:rsidR="00A4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</w:t>
            </w:r>
          </w:p>
        </w:tc>
      </w:tr>
      <w:tr w:rsidR="0043001F" w:rsidRPr="0043001F" w:rsidTr="00F411A9">
        <w:tc>
          <w:tcPr>
            <w:tcW w:w="438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82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положительного заключения о достоверности 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сметной стоимости инвестиционного проекта в отношении объектов капитального строительства, предусмотренных инвестиционным проектом </w:t>
            </w:r>
          </w:p>
        </w:tc>
        <w:tc>
          <w:tcPr>
            <w:tcW w:w="2551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1;</w:t>
            </w: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Критерий не применим для объектов капитального строительства, имеющих положительное 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633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2" w:type="dxa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Реквизиты положительного заключения о достоверности сметной стоимости 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инвестиционного проекта в отношении объектов капитального строительства, предусмотренных инвестиционным проектом </w:t>
            </w: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01F" w:rsidRPr="0043001F" w:rsidTr="00F411A9">
        <w:trPr>
          <w:trHeight w:val="705"/>
        </w:trPr>
        <w:tc>
          <w:tcPr>
            <w:tcW w:w="438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8</w:t>
            </w:r>
          </w:p>
        </w:tc>
        <w:tc>
          <w:tcPr>
            <w:tcW w:w="2551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1нп</w:t>
            </w:r>
            <w:r w:rsidRPr="0043001F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  <w:r w:rsidRPr="0043001F">
              <w:rPr>
                <w:rFonts w:ascii="Times New Roman" w:eastAsia="Times New Roman" w:hAnsi="Times New Roman" w:cs="Times New Roman"/>
                <w:lang w:eastAsia="ru-RU"/>
              </w:rPr>
              <w:t xml:space="preserve">= </w:t>
            </w:r>
          </w:p>
        </w:tc>
        <w:tc>
          <w:tcPr>
            <w:tcW w:w="7655" w:type="dxa"/>
            <w:gridSpan w:val="2"/>
          </w:tcPr>
          <w:p w:rsidR="0043001F" w:rsidRPr="0043001F" w:rsidRDefault="00F61BDA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6.5pt">
                  <v:imagedata r:id="rId7" o:title=""/>
                </v:shape>
              </w:pict>
            </w:r>
            <w:r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pict>
                <v:shape id="_x0000_i1026" type="#_x0000_t75" style="width:9pt;height:16.5pt">
                  <v:imagedata r:id="rId7" o:title=""/>
                </v:shape>
              </w:pict>
            </w:r>
          </w:p>
        </w:tc>
      </w:tr>
      <w:tr w:rsidR="0043001F" w:rsidRPr="0043001F" w:rsidTr="00F411A9">
        <w:tc>
          <w:tcPr>
            <w:tcW w:w="438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2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использования средств местного бюджета, направляемых на капитальные вложения, на основе качественных критериев, Ч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2551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Сумма б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100% / (К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1нп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)=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i=1 </w:t>
            </w:r>
          </w:p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Таблица 2</w:t>
      </w: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инвестиционного проекта количественным критериям</w:t>
      </w: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5"/>
        <w:gridCol w:w="4335"/>
        <w:gridCol w:w="1650"/>
        <w:gridCol w:w="992"/>
        <w:gridCol w:w="1824"/>
        <w:gridCol w:w="1539"/>
        <w:gridCol w:w="4150"/>
      </w:tblGrid>
      <w:tr w:rsidR="0043001F" w:rsidRPr="0043001F" w:rsidTr="00F411A9">
        <w:tc>
          <w:tcPr>
            <w:tcW w:w="485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5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1650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Допустимые баллы оценки</w:t>
            </w:r>
          </w:p>
        </w:tc>
        <w:tc>
          <w:tcPr>
            <w:tcW w:w="992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 оценки (б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24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Весовой коэффициент критерия</w:t>
            </w:r>
          </w:p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 w:eastAsia="ru-RU"/>
              </w:rPr>
              <w:t>i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539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Средневзвешенный балл </w:t>
            </w:r>
          </w:p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430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00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</w:p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150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Ссылки на документальные подтверждения</w:t>
            </w:r>
          </w:p>
        </w:tc>
      </w:tr>
      <w:tr w:rsidR="0043001F" w:rsidRPr="0043001F" w:rsidTr="00F411A9">
        <w:tc>
          <w:tcPr>
            <w:tcW w:w="485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5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650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92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количественных показателей результатов реализации инвестиционного проекта в соответствии с паспортом инвестиционного проекта</w:t>
            </w:r>
          </w:p>
        </w:tc>
      </w:tr>
      <w:tr w:rsidR="0043001F" w:rsidRPr="0043001F" w:rsidTr="00F411A9">
        <w:tc>
          <w:tcPr>
            <w:tcW w:w="485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5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650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</w:t>
            </w:r>
          </w:p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992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Укрупненный норматив цены строительства или основные сведения и технико-экономические показатели проект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аналога, реализуемого (или реализованного) в Самарской области, Российской Федерации (при отсутствии аналогов на территории Самарской области)</w:t>
            </w: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за рубежом (при отсутствии аналогов на территории России)</w:t>
            </w: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01F" w:rsidRPr="0043001F" w:rsidTr="00F411A9">
        <w:tc>
          <w:tcPr>
            <w:tcW w:w="485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35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уровня обеспеченности населения сельского поселения </w:t>
            </w:r>
            <w:r w:rsidR="00A4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1650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</w:t>
            </w:r>
          </w:p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992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данных для расчета используются статистические данные обеспеченности населения сельского поселения </w:t>
            </w:r>
            <w:r w:rsidR="00A4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43001F" w:rsidDel="00D72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Большеглушицкий Самарской области, на территории которого реализуется инвестиционный проект, определенным видом продукции (услуг) за последний отчетный период </w:t>
            </w:r>
          </w:p>
        </w:tc>
      </w:tr>
      <w:tr w:rsidR="0043001F" w:rsidRPr="0043001F" w:rsidTr="00F411A9">
        <w:tc>
          <w:tcPr>
            <w:tcW w:w="485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35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</w:tc>
        <w:tc>
          <w:tcPr>
            <w:tcW w:w="1650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</w:t>
            </w:r>
          </w:p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992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нормативного) уровня использования проектной мощности объекта</w:t>
            </w:r>
            <w:proofErr w:type="gramEnd"/>
          </w:p>
        </w:tc>
      </w:tr>
      <w:tr w:rsidR="0043001F" w:rsidRPr="0043001F" w:rsidTr="00F411A9">
        <w:tc>
          <w:tcPr>
            <w:tcW w:w="485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35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650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</w:t>
            </w:r>
          </w:p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</w:t>
            </w:r>
          </w:p>
        </w:tc>
        <w:tc>
          <w:tcPr>
            <w:tcW w:w="992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50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инвестиционного проекта</w:t>
            </w: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01F" w:rsidRPr="0043001F" w:rsidTr="00F411A9">
        <w:tc>
          <w:tcPr>
            <w:tcW w:w="485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335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использования средств местного бюджета, направляемых на капитальные вложения, на основе количественных критериев, Ч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650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9" w:type="dxa"/>
            <w:gridSpan w:val="2"/>
          </w:tcPr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К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Сумма б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 Р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i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</w:p>
          <w:p w:rsidR="0043001F" w:rsidRPr="0043001F" w:rsidRDefault="0043001F" w:rsidP="00430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2i=1 </w:t>
            </w:r>
          </w:p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3</w:t>
      </w: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интегральной оценки эффективности инвестиционного проекта</w:t>
      </w: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596"/>
        <w:gridCol w:w="4596"/>
      </w:tblGrid>
      <w:tr w:rsidR="0043001F" w:rsidRPr="0043001F" w:rsidTr="00F411A9">
        <w:tc>
          <w:tcPr>
            <w:tcW w:w="5387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96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</w:t>
            </w:r>
          </w:p>
        </w:tc>
        <w:tc>
          <w:tcPr>
            <w:tcW w:w="4596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Весовой коэффициент</w:t>
            </w:r>
          </w:p>
        </w:tc>
      </w:tr>
      <w:tr w:rsidR="0043001F" w:rsidRPr="0043001F" w:rsidTr="00F411A9">
        <w:tc>
          <w:tcPr>
            <w:tcW w:w="5387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на основе качественных критериев, Ч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4596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43001F" w:rsidRPr="0043001F" w:rsidTr="00F411A9">
        <w:tc>
          <w:tcPr>
            <w:tcW w:w="5387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на основе количественных критериев, Ч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4596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6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43001F" w:rsidRPr="0043001F" w:rsidTr="00F411A9">
        <w:tc>
          <w:tcPr>
            <w:tcW w:w="5387" w:type="dxa"/>
          </w:tcPr>
          <w:p w:rsidR="0043001F" w:rsidRPr="0043001F" w:rsidRDefault="0043001F" w:rsidP="00430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proofErr w:type="spell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инт</w:t>
            </w:r>
            <w:proofErr w:type="spellEnd"/>
          </w:p>
        </w:tc>
        <w:tc>
          <w:tcPr>
            <w:tcW w:w="4596" w:type="dxa"/>
          </w:tcPr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инт</w:t>
            </w:r>
            <w:proofErr w:type="spellEnd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Ч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 0,2 + Ч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 0,8 =</w:t>
            </w:r>
          </w:p>
        </w:tc>
        <w:tc>
          <w:tcPr>
            <w:tcW w:w="4596" w:type="dxa"/>
          </w:tcPr>
          <w:p w:rsidR="0043001F" w:rsidRPr="0043001F" w:rsidRDefault="0043001F" w:rsidP="0043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Методике </w:t>
      </w:r>
      <w:proofErr w:type="gramStart"/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эффективности использования средств бюджета сельского поселения</w:t>
      </w:r>
      <w:proofErr w:type="gramEnd"/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области, направляемых на капитальные вложения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весовых коэффициентов количественных критериев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процентах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6800"/>
        <w:gridCol w:w="3787"/>
        <w:gridCol w:w="3584"/>
      </w:tblGrid>
      <w:tr w:rsidR="0043001F" w:rsidRPr="0043001F" w:rsidTr="00F411A9">
        <w:trPr>
          <w:cantSplit/>
          <w:trHeight w:val="2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(реконструкция) объектов капитального строительства:</w:t>
            </w:r>
          </w:p>
        </w:tc>
      </w:tr>
      <w:tr w:rsidR="0043001F" w:rsidRPr="0043001F" w:rsidTr="00F411A9">
        <w:trPr>
          <w:cantSplit/>
          <w:trHeight w:val="20"/>
        </w:trPr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43001F" w:rsidRPr="0043001F" w:rsidTr="00F411A9">
        <w:trPr>
          <w:cantSplit/>
          <w:trHeight w:val="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количественных показателей (показателя) результатов реализации инвестиционного проекта 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3001F" w:rsidRPr="0043001F" w:rsidTr="00F411A9">
        <w:trPr>
          <w:cantSplit/>
          <w:trHeight w:val="12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 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3001F" w:rsidRPr="0043001F" w:rsidTr="00F411A9">
        <w:trPr>
          <w:cantSplit/>
          <w:trHeight w:val="2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(реконструкция) объектов капитального строительства:</w:t>
            </w:r>
          </w:p>
        </w:tc>
      </w:tr>
      <w:tr w:rsidR="0043001F" w:rsidRPr="0043001F" w:rsidTr="00F411A9">
        <w:trPr>
          <w:cantSplit/>
          <w:trHeight w:val="20"/>
        </w:trPr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43001F" w:rsidRPr="0043001F" w:rsidTr="00F411A9">
        <w:trPr>
          <w:cantSplit/>
          <w:trHeight w:val="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уровня обеспеченности населения сельского поселения </w:t>
            </w:r>
            <w:r w:rsidR="00A4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 определенным видом продукции (услуг), создаваемой в результате реализации инвестиционного проекта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3001F" w:rsidRPr="0043001F" w:rsidTr="00F411A9">
        <w:trPr>
          <w:cantSplit/>
          <w:trHeight w:val="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3001F" w:rsidRPr="0043001F" w:rsidTr="00F411A9">
        <w:trPr>
          <w:cantSplit/>
          <w:trHeight w:val="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Возможность обеспечения планируемого объекта капитального строительства инженерной и транспортной инфраструктурами в объемах, достаточных для реализации проекта </w:t>
            </w:r>
            <w:proofErr w:type="gramEnd"/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3001F" w:rsidRPr="0043001F" w:rsidTr="00F411A9">
        <w:trPr>
          <w:cantSplit/>
          <w:trHeight w:val="2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001F" w:rsidRPr="0043001F" w:rsidSect="00CE57DD">
          <w:pgSz w:w="16838" w:h="11906" w:orient="landscape"/>
          <w:pgMar w:top="1418" w:right="962" w:bottom="1134" w:left="851" w:header="709" w:footer="709" w:gutter="0"/>
          <w:cols w:space="708"/>
          <w:docGrid w:linePitch="360"/>
        </w:sect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Методике </w:t>
      </w:r>
      <w:proofErr w:type="gramStart"/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эффективности использования средств бюджета сельского поселения</w:t>
      </w:r>
      <w:proofErr w:type="gramEnd"/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области, направляемых на капитальные вложения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количественные показатели, характеризующие цель и результаты реализации инвестиционного проекта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53"/>
        <w:gridCol w:w="2640"/>
        <w:gridCol w:w="7"/>
        <w:gridCol w:w="4671"/>
      </w:tblGrid>
      <w:tr w:rsidR="0043001F" w:rsidRPr="0043001F" w:rsidTr="00F411A9">
        <w:trPr>
          <w:trHeight w:val="20"/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Объекты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капитального строительства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Количественные показатели:</w:t>
            </w:r>
          </w:p>
        </w:tc>
      </w:tr>
      <w:tr w:rsidR="0043001F" w:rsidRPr="0043001F" w:rsidTr="00F411A9">
        <w:trPr>
          <w:trHeight w:val="20"/>
          <w:tblHeader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характеризующие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прямые (непосредственные) результаты инвестиционного проекта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характеризующие конечные результаты инвестиционного проекта</w:t>
            </w:r>
          </w:p>
        </w:tc>
      </w:tr>
      <w:tr w:rsidR="0043001F" w:rsidRPr="0043001F" w:rsidTr="00F411A9">
        <w:trPr>
          <w:trHeight w:val="651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Строительство (реконструкция) объектов здравоохранения, образования, культуры и спорта</w:t>
            </w:r>
          </w:p>
        </w:tc>
      </w:tr>
      <w:tr w:rsidR="0043001F" w:rsidRPr="0043001F" w:rsidTr="00F411A9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Учреждения здравоохранения (медицинские центры, больницы, поликлиники, родильные дома, диспансеры и др.)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1.Мощность объекта: количество койко-мест; количество посещений в смену.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2.Общая площадь здания, кв. м.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3.Строительный объем, куб. м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1.Количество создаваемых (сохраняемых) рабочих мест, единицы.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2. Рост обеспеченности населения 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A4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 (в зависимости от масштаба проекта) медицинскими услугами, врачами и средним медперсоналом, в процентах к уровню обеспеченности до реализации инвестиционного проекта.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В случае создания (реконструкции) специализированных медицинских центров, клиник - снижение заболеваемости, смертности по профилю медицинского учреждения</w:t>
            </w:r>
          </w:p>
        </w:tc>
      </w:tr>
      <w:tr w:rsidR="0043001F" w:rsidRPr="0043001F" w:rsidTr="00F411A9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Дошкольные и общеобразовательные организации, центры детского творчества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1.Мощность объекта: количество мест.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2.Общая площадь здания, кв. м.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3.Строительный объем, куб. м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1.Количество создаваемых (сохраняемых) рабочих мест, единицы.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2. Рост обеспеченности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</w:t>
            </w:r>
            <w:r w:rsidR="00A4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 (в расчете на 100 детей) местами в дошкольных образовательных, общеобразовательных организациях, центрах детского творчества, в </w:t>
            </w: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>процентах к уровню обеспеченности до реализации инвестиционного проекта</w:t>
            </w:r>
          </w:p>
        </w:tc>
      </w:tr>
      <w:tr w:rsidR="0043001F" w:rsidRPr="0043001F" w:rsidTr="00F411A9">
        <w:trPr>
          <w:trHeight w:val="362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>Учреждения культуры (театры, музеи, библиотеки и т.п.)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1.Мощность объекта: количество мест; количество посетителей в день.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Для библиотек - число единиц библиотечного фонда.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2.Общая площадь здания, кв. м.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3.Строительный объем, куб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2. Рост обеспеченности 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A4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 (в расчете на 1000 жителей) местами в учреждениях культуры, в процентах к уровню обеспеченности до реализации инвестиционного проекта</w:t>
            </w:r>
          </w:p>
        </w:tc>
      </w:tr>
      <w:tr w:rsidR="0043001F" w:rsidRPr="0043001F" w:rsidTr="00F411A9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Учреждения социальной защиты населения (дома инвалидов и престарелых, детей-инвалидов, детские дома) 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1.Мощность объекта: количество мест.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2.Общая площадь здания, кв. м.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3.Строительный объем, куб. м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2. Рост обеспеченности 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A4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 местами в учреждениях социальной защиты, в процентах к уровню обеспеченности до реализации инвестиционного проекта</w:t>
            </w:r>
          </w:p>
        </w:tc>
      </w:tr>
      <w:tr w:rsidR="0043001F" w:rsidRPr="0043001F" w:rsidTr="00F411A9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1.Мощность объекта: пропускная способность спортивных сооружений; количество мест, тыс. человек.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2.Общая площадь здания, кв. м.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3.Строительный объем, куб. м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2. Рост обеспеченности 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A4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 объектами физической культуры и спорта, рост количества ме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ст в пр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оцентах к уровню обеспеченности до реализации инвестиционного проекта</w:t>
            </w:r>
          </w:p>
        </w:tc>
      </w:tr>
      <w:tr w:rsidR="0043001F" w:rsidRPr="0043001F" w:rsidTr="00F411A9">
        <w:trPr>
          <w:trHeight w:val="2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Строительство (реконструкция) общественных зданий и жилых помещений</w:t>
            </w:r>
          </w:p>
        </w:tc>
      </w:tr>
      <w:tr w:rsidR="0043001F" w:rsidRPr="0043001F" w:rsidTr="00F411A9">
        <w:trPr>
          <w:trHeight w:val="2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Жилые дома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1.Общая площадь объекта, кв. м.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 xml:space="preserve">2.Полезная жилая площадь объекта,     </w:t>
            </w:r>
            <w:proofErr w:type="spell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кв</w:t>
            </w:r>
            <w:proofErr w:type="spellEnd"/>
            <w:proofErr w:type="gram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м.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3.Количество квартир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 xml:space="preserve">Сокращение количества очередников на улучшение жилищных условий 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  <w:r w:rsidR="00A4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43001F" w:rsidDel="00C74B1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муниципального района Большеглушицкий Самарской области, в процентах к количеству очередников до реализации инвестиционного проекта</w:t>
            </w:r>
          </w:p>
        </w:tc>
      </w:tr>
      <w:tr w:rsidR="0043001F" w:rsidRPr="0043001F" w:rsidTr="00F411A9">
        <w:trPr>
          <w:trHeight w:val="20"/>
        </w:trPr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>Административные здания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1.Общая площадь объекта, кв. м.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2.Полезная и служебная площадь объекта, кв. м.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3.Строительный объем, куб. м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43001F" w:rsidRPr="0043001F" w:rsidTr="00F411A9">
        <w:trPr>
          <w:trHeight w:val="2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43001F" w:rsidRPr="0043001F" w:rsidTr="00F411A9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2. Сокращение концентрации вредных веще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ств в сбр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осах (выбросах), в процентах к их концентрации до реализации инвестиционного проекта.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3.Соответствие концентрации вредных веще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ств пр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едельно допустимой концентрации</w:t>
            </w:r>
          </w:p>
        </w:tc>
      </w:tr>
      <w:tr w:rsidR="0043001F" w:rsidRPr="0043001F" w:rsidTr="00F411A9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Береговые сооружения для защиты от наводнений, противооползневые сооружения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1.Общая площадь (объем) объекта, кв. м (куб. м).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2.Иные размерные характеристики объекта в соответствующих единицах измерения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 Общая площадь защищаемой от наводнения (оползня) береговой зоны, тыс. кв. м.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2. Предотвращенный экономический ущерб (по данным экономического ущерба от последнего наводнения, оползня), млн. руб.</w:t>
            </w:r>
          </w:p>
        </w:tc>
      </w:tr>
      <w:tr w:rsidR="0043001F" w:rsidRPr="0043001F" w:rsidTr="00F411A9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Объекты по переработке и захоронению </w:t>
            </w: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>токсичных промышленных отходов (ТПО)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 xml:space="preserve">Мощность объекта: объем переработки очищаемого ресурса, </w:t>
            </w: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>куб. м (тонн) в сутки (год)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>1. Количество создаваемых (сохраняемых) рабочих мест, единицы.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2. Срок безопасного хранения </w:t>
            </w: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>захороненных ТПО, лет</w:t>
            </w:r>
          </w:p>
        </w:tc>
      </w:tr>
      <w:tr w:rsidR="0043001F" w:rsidRPr="0043001F" w:rsidTr="00F411A9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>Мелиорация и реконструкция земель сельскохозяйствен</w:t>
            </w: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softHyphen/>
              <w:t>ного назначения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Общая площадь 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мелиорируемых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и реконструируемых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земель, гектары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2. Предотвращение выбытия из сельскохозяйственного оборота сельхозугодий, гектары.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3. Прирост сельскохозяйственной продукции в результате проведенных мероприятий, тонн</w:t>
            </w:r>
          </w:p>
        </w:tc>
      </w:tr>
      <w:tr w:rsidR="0043001F" w:rsidRPr="0043001F" w:rsidTr="00F411A9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Объекты коммунальной инфраструктуры (объекты водоснабжения, водоотведения, тепл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о-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, газо- и электроснабжения)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1.Мощность объекта в соответствующих натуральных единицах измерения.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2.Размерные и иные характеристики объекта (газопровод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а-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отвода - км, давление;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электрических сетей 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-к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м, напряжение и т.п.)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2. Увеличение количества населенных пунктов, имеющих водопровод и канализацию, единицы.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3. Увеличение уровня газификации </w:t>
            </w:r>
            <w:r w:rsidRPr="0043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A44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области, в процентах к уровню газификации до начала реализации инвестиционного проекта</w:t>
            </w:r>
          </w:p>
        </w:tc>
      </w:tr>
      <w:tr w:rsidR="0043001F" w:rsidRPr="0043001F" w:rsidTr="00F411A9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Сортировка, переработка и утилизация твердых коммунальных отходов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Мощность объекта: объем переработки твердых коммунальных отходов, тонн в сутки (год)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2. Закрытие существующих свалок твердых коммунальных отходов, общая площадь </w:t>
            </w:r>
            <w:proofErr w:type="spell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рекультивированных</w:t>
            </w:r>
            <w:proofErr w:type="spellEnd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земель, гектары</w:t>
            </w:r>
          </w:p>
        </w:tc>
      </w:tr>
      <w:tr w:rsidR="0043001F" w:rsidRPr="0043001F" w:rsidTr="00F411A9">
        <w:trPr>
          <w:trHeight w:val="2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Строительство (реконструкция) производственных объектов</w:t>
            </w:r>
          </w:p>
        </w:tc>
      </w:tr>
      <w:tr w:rsidR="0043001F" w:rsidRPr="0043001F" w:rsidTr="00F411A9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Производственные объекты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2. Конечные результаты с учетом типа инвестиционного проекта (например, повышение доли конкурентоспособной </w:t>
            </w: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>продукции (услуг) в общем объеме производства, в процентах)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</w:tc>
      </w:tr>
      <w:tr w:rsidR="0043001F" w:rsidRPr="0043001F" w:rsidTr="00F411A9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>Строительство (реконструкция) объектов транспортной инфраструктуры</w:t>
            </w:r>
          </w:p>
        </w:tc>
      </w:tr>
      <w:tr w:rsidR="0043001F" w:rsidRPr="0043001F" w:rsidTr="00F411A9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Пути сообщения общего пользования (железнодорожные пути; автомобильные дороги с твердым покрытием; магистральные трубопроводы)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1.Эксплуатационная длина путей сообщения общего пользования, 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км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2.Иные размерные характеристики объекта в соответствующих единицах измерения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 Количество создаваемых (сохраняемых) рабочих мест, единицы.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2. Объем (увеличение объема): грузооборота транспорта общего пользования, </w:t>
            </w:r>
            <w:proofErr w:type="spell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тонно</w:t>
            </w:r>
            <w:proofErr w:type="spellEnd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-км в год;  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3.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пассажиро</w:t>
            </w:r>
            <w:proofErr w:type="spellEnd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-км в год.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4. Сокращение времени пребывания грузов, пассажиров в пути, процентов.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5.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43001F" w:rsidRPr="0043001F" w:rsidTr="00F411A9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Мосты, тоннели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1.Общая площадь объекта, кв. м.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2.Эксплуатационная длина объекта, </w:t>
            </w:r>
            <w:proofErr w:type="gram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км</w:t>
            </w:r>
            <w:proofErr w:type="gramEnd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3.Иные размерные характеристики объекта в соответствующих единицах измерения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тонно</w:t>
            </w:r>
            <w:proofErr w:type="spellEnd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-км в год.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2. Объем (увеличение объема) пассажирооборота железнодорожного, автобусного и другого транспорта, </w:t>
            </w:r>
            <w:proofErr w:type="spellStart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пассажиро</w:t>
            </w:r>
            <w:proofErr w:type="spellEnd"/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-км в год.</w:t>
            </w:r>
          </w:p>
          <w:p w:rsidR="0043001F" w:rsidRPr="0043001F" w:rsidRDefault="0043001F" w:rsidP="00430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43001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3. Сокращение времени пребывания грузов, пассажиров в пути, процентов</w:t>
            </w:r>
          </w:p>
        </w:tc>
      </w:tr>
    </w:tbl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</w:p>
    <w:p w:rsidR="0043001F" w:rsidRPr="0043001F" w:rsidRDefault="0043001F" w:rsidP="00430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Правилам проведения проверки инвестиционных проектов на предмет </w:t>
      </w:r>
      <w:proofErr w:type="gramStart"/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использования средств бюджета сельского поселения</w:t>
      </w:r>
      <w:proofErr w:type="gramEnd"/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области, направляемых на капитальные вложения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ВЕДЕНИЯ РЕЕСТРА ИНВЕСТИЦИОННЫХ ПРОЕКТОВ, ПОЛУЧИВШИХ ПОЛОЖИТЕЛЬНОЕ ЗАКЛЮЧЕНИЕ ОБ ЭФФЕКТИВНОСТИ ИСПОЛЬЗОВАНИЯ СРЕДСТВ БЮДЖЕТА СЕЛЬСКОГО ПОСЕЛЕНИЯ </w:t>
      </w:r>
      <w:r w:rsidR="00A44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БОЛЬШЕГЛУШИЦКИЙ САМАРСКОЙ ОБЛАСТИ, НАПРАВЛЯЕМЫХ НА КАПИТАЛЬНЫЕ ВЛОЖЕНИЯ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- Порядок)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бюджета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направляемых на капитальные вложения (далее, соответственно – инвестиционный проект, местный бюджет, Реестр), в том числе требования к ведению и содержанию Реестра.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является информационной базой, содержащей зафиксированные на электронном и бумажном носителях в соответствии с законодательством Российской Федерации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Реестр ведется на электронном и бумажном носителях путем внесения в него соответствующих записей. Для ведения Реестра на бумажном носителе предусматривается специальный журнал, который должен быть пронумерован, прошнурован и скреплен печатью администрации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об инвестиционном проекте вносятся в Реестр в течение 5 (пяти) рабочих дней со дня получения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Реестровая запись содержит следующие сведения: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номер записи;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инвестиционного проекта согласно паспорту инвестиционного проекта;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значения количественных показателей (показателя) реализации 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инвестиционного проекта согласно паспорту инвестиционного проекта с указанием единиц измерения показателей (показателя);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проекта, а также рассчитанная в ценах соответствующих лет согласно паспорту инвестиционного проекта (в млн. рублей с одним знаком после запятой);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наименование ответственного исполнителя муниципальной программы (подпрограммы)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или участника муниципальной программы (подпрограммы)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в рамках которой планируется осуществлять бюджетные инвестиции (далее - муниципальная программа), а по инвестиционным проектам, не включенным в муниципальные программы, - главного распорядителя средств местного бюджета (далее - заявитель), представившего комплект документов для проведения проверки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заключение);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реквизиты повторного заключения по инвестиционному проекту об эффективности использования средств местного бюджета, направляемых на капитальные вложения, в случаях, установленных абзацем вторым пункта 4.2 Правил проведения проверки инвестиционных проектов на предмет эффективности использования средств местного бюджета сельского поселения </w:t>
      </w:r>
      <w:r w:rsidR="00A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области, направляемых на капитальные вложения (номер и дата заключения, фамилия, имя, отчество и должность лица, подписавшего заключение</w:t>
      </w:r>
      <w:proofErr w:type="gramEnd"/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 заключения - положительное или отрицательное).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0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Изменения в Реестр вносятся в срок, указанный в пункте 4 настоящего Порядка, со дня получения повторного заключения по инвестиционному проекту об эффективности использования средств местного бюджета, направляемых на капитальные вложения, в соответствии с пунктом 4.2 Правил.</w:t>
      </w: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01F" w:rsidRPr="0043001F" w:rsidRDefault="0043001F" w:rsidP="004300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"/>
          <w:lang w:eastAsia="ru-RU"/>
        </w:rPr>
      </w:pPr>
    </w:p>
    <w:p w:rsidR="00E40B8A" w:rsidRDefault="00E40B8A"/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59B"/>
    <w:multiLevelType w:val="hybridMultilevel"/>
    <w:tmpl w:val="53B2626A"/>
    <w:lvl w:ilvl="0" w:tplc="A9A0D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BDF3507"/>
    <w:multiLevelType w:val="hybridMultilevel"/>
    <w:tmpl w:val="D2BC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52511"/>
    <w:multiLevelType w:val="hybridMultilevel"/>
    <w:tmpl w:val="5C58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1F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3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01F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0243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A21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4C26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2B04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260F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BDA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3001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00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43001F"/>
  </w:style>
  <w:style w:type="paragraph" w:styleId="a3">
    <w:name w:val="Body Text"/>
    <w:basedOn w:val="a"/>
    <w:link w:val="a4"/>
    <w:semiHidden/>
    <w:rsid w:val="0043001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3001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30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430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30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001F"/>
  </w:style>
  <w:style w:type="paragraph" w:styleId="a8">
    <w:name w:val="Balloon Text"/>
    <w:basedOn w:val="a"/>
    <w:link w:val="a9"/>
    <w:semiHidden/>
    <w:rsid w:val="004300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300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0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0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30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43001F"/>
    <w:rPr>
      <w:color w:val="0000FF"/>
      <w:u w:val="single"/>
    </w:rPr>
  </w:style>
  <w:style w:type="paragraph" w:customStyle="1" w:styleId="12">
    <w:name w:val="Обычный 12пт"/>
    <w:basedOn w:val="a"/>
    <w:rsid w:val="0043001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300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3001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00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43001F"/>
  </w:style>
  <w:style w:type="paragraph" w:styleId="a3">
    <w:name w:val="Body Text"/>
    <w:basedOn w:val="a"/>
    <w:link w:val="a4"/>
    <w:semiHidden/>
    <w:rsid w:val="0043001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3001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30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430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30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001F"/>
  </w:style>
  <w:style w:type="paragraph" w:styleId="a8">
    <w:name w:val="Balloon Text"/>
    <w:basedOn w:val="a"/>
    <w:link w:val="a9"/>
    <w:semiHidden/>
    <w:rsid w:val="004300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300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00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0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30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43001F"/>
    <w:rPr>
      <w:color w:val="0000FF"/>
      <w:u w:val="single"/>
    </w:rPr>
  </w:style>
  <w:style w:type="paragraph" w:customStyle="1" w:styleId="12">
    <w:name w:val="Обычный 12пт"/>
    <w:basedOn w:val="a"/>
    <w:rsid w:val="0043001F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4300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6AAF-5345-4677-AF9B-12F97E68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12028</Words>
  <Characters>68564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6</cp:revision>
  <cp:lastPrinted>2018-07-06T05:05:00Z</cp:lastPrinted>
  <dcterms:created xsi:type="dcterms:W3CDTF">2018-07-02T05:11:00Z</dcterms:created>
  <dcterms:modified xsi:type="dcterms:W3CDTF">2018-07-06T05:22:00Z</dcterms:modified>
</cp:coreProperties>
</file>