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420"/>
      </w:tblGrid>
      <w:tr>
        <w:trPr>
          <w:trHeight w:val="202"/>
        </w:trPr>
        <w:tc>
          <w:tcPr>
            <w:tcW w:w="5420" w:type="dxa"/>
            <w:vAlign w:val="top"/>
            <w:textDirection w:val="lrTb"/>
            <w:noWrap w:val="false"/>
          </w:tcPr>
          <w:p>
            <w:pPr>
              <w:pStyle w:val="816"/>
              <w:jc w:val="both"/>
              <w:spacing w:line="240" w:lineRule="auto"/>
              <w:rPr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расходы на первый год жизни ребенка: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1.Наличие кассового чека. С 01.02.2021 года во всех чеках ККМ должна отражаться полная информация о товаре (наименование, цена, количество). Если информации недостаточно, к чеку ККМ необходим товарный чек. В товарных чеках не должно быть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исправлений, дописок и подчисток, итоговая сумма должна быть указана прописью и обязательно подпись и расшифровка подписи (ФИО) продавца.                        2.Информация о товаре должна позволять определить, что расходы произведены на ребенка первого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года жизни. А именно: если приобретены памперсы, то в чеке должен указываться размер памперса или вес ребенка; если одежда, то размеры; если продукты, то должен быть указан возраст ребенка, с какого можно употреблять продукт.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- П. 1 относится и к документам, подтверждающим расходы на ремонт жилого помещения</w:t>
            </w:r>
            <w:r>
              <w:t xml:space="preserve">.</w:t>
            </w:r>
            <w:r/>
          </w:p>
          <w:p>
            <w:pPr>
              <w:jc w:val="both"/>
              <w:spacing w:line="240" w:lineRule="auto"/>
              <w:rPr>
                <w:highlight w:val="none"/>
              </w:rPr>
            </w:pPr>
            <w:r>
              <w:rPr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знаком «*»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Управление  направляет межведомственные запросы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случае, если указанные документы не были предста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влены заявителем 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pStyle w:val="816"/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всем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вопросам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6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обращаться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/>
                <w:sz w:val="28"/>
              </w:rPr>
              <w:t xml:space="preserve">Управление по муниципальному району Большеглушицкий</w:t>
            </w:r>
            <w:r>
              <w:rPr>
                <w:rFonts w:ascii="Times New Roman" w:hAnsi="Times New Roman" w:eastAsia="Times New Roman"/>
                <w:sz w:val="28"/>
              </w:rPr>
              <w:t xml:space="preserve"> ГКУ СО </w:t>
            </w:r>
            <w:r>
              <w:rPr>
                <w:rFonts w:ascii="Times New Roman" w:hAnsi="Times New Roman" w:eastAsia="Times New Roman"/>
                <w:sz w:val="28"/>
              </w:rPr>
              <w:t xml:space="preserve">«</w:t>
            </w:r>
            <w:r>
              <w:rPr>
                <w:rFonts w:ascii="Times New Roman" w:hAnsi="Times New Roman" w:eastAsia="Times New Roman"/>
                <w:sz w:val="28"/>
              </w:rPr>
              <w:t xml:space="preserve">ГУСЗН Южного округа</w:t>
            </w:r>
            <w:r>
              <w:rPr>
                <w:rFonts w:ascii="Times New Roman" w:hAnsi="Times New Roman" w:eastAsia="Times New Roman"/>
                <w:sz w:val="28"/>
              </w:rPr>
              <w:t xml:space="preserve"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eastAsia="Times New Roman"/>
                <w:b/>
                <w:sz w:val="20"/>
                <w:lang w:eastAsia="ru-RU"/>
              </w:rPr>
            </w:r>
            <w:r/>
          </w:p>
          <w:p>
            <w:pPr>
              <w:pStyle w:val="816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находящееся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адресу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</w:t>
            </w:r>
            <w:r/>
          </w:p>
          <w:p>
            <w:pPr>
              <w:pStyle w:val="816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с.Большая Глушица , ул.Гагарина д.27</w:t>
            </w:r>
            <w:r/>
          </w:p>
          <w:p>
            <w:pPr>
              <w:pStyle w:val="816"/>
              <w:jc w:val="center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б.№ 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15, тел. 2-13-07;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2-13-08.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pStyle w:val="816"/>
              <w:jc w:val="center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Режим работы:</w:t>
            </w:r>
            <w:r/>
          </w:p>
          <w:p>
            <w:pPr>
              <w:pStyle w:val="816"/>
              <w:jc w:val="center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понедельник – пятница</w:t>
            </w:r>
            <w:r/>
          </w:p>
          <w:p>
            <w:pPr>
              <w:pStyle w:val="816"/>
              <w:jc w:val="center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 8.00 до 16.12</w:t>
            </w:r>
            <w:r/>
          </w:p>
          <w:p>
            <w:pPr>
              <w:pStyle w:val="816"/>
              <w:jc w:val="center"/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обед с 12.00 до 13.00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</w:r>
            <w:r/>
          </w:p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</w:r>
            <w:r/>
          </w:p>
          <w:p>
            <w:pPr>
              <w:pStyle w:val="816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Century" w:hAnsi="Century" w:cs="Gautami"/>
                <w:b/>
                <w:bCs/>
                <w:i/>
                <w:color w:val="ff0000"/>
                <w:sz w:val="36"/>
                <w:szCs w:val="36"/>
              </w:rPr>
            </w:pPr>
            <w:r>
              <w:rPr>
                <w:rFonts w:ascii="Century" w:hAnsi="Century" w:cs="Gautami"/>
                <w:b/>
                <w:i/>
                <w:color w:val="ff0000"/>
                <w:sz w:val="36"/>
                <w:szCs w:val="36"/>
                <w:highlight w:val="none"/>
              </w:rPr>
            </w:r>
            <w:r>
              <w:rPr>
                <w:rFonts w:ascii="Century" w:hAnsi="Century" w:cs="Gautami"/>
                <w:b/>
                <w:i/>
                <w:color w:val="ff0000"/>
                <w:sz w:val="36"/>
                <w:szCs w:val="36"/>
                <w:highlight w:val="none"/>
              </w:rPr>
            </w:r>
            <w:r/>
          </w:p>
          <w:p>
            <w:pPr>
              <w:pStyle w:val="816"/>
              <w:jc w:val="center"/>
              <w:spacing w:after="0" w:line="240" w:lineRule="auto"/>
              <w:rPr>
                <w:rFonts w:ascii="Century" w:hAnsi="Century" w:cs="Gautami"/>
                <w:b/>
                <w:bCs/>
                <w:i/>
                <w:color w:val="ff0000"/>
                <w:sz w:val="36"/>
                <w:szCs w:val="36"/>
                <w:highlight w:val="none"/>
              </w:rPr>
            </w:pPr>
            <w:r>
              <w:rPr>
                <w:rFonts w:ascii="Century" w:hAnsi="Century" w:cs="Gautami"/>
                <w:b/>
                <w:i/>
                <w:color w:val="ff0000"/>
                <w:sz w:val="36"/>
                <w:szCs w:val="36"/>
              </w:rPr>
              <w:t xml:space="preserve">СЕМЕЙНЫЙ КАПИТАЛ</w:t>
            </w:r>
            <w:r>
              <w:rPr>
                <w:rFonts w:ascii="Century" w:hAnsi="Century" w:cs="Gautami"/>
                <w:b/>
                <w:i/>
                <w:color w:val="ff0000"/>
                <w:sz w:val="36"/>
                <w:szCs w:val="36"/>
              </w:rPr>
            </w:r>
            <w:r/>
          </w:p>
          <w:p>
            <w:pPr>
              <w:pStyle w:val="816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  <w:r/>
          </w:p>
          <w:p>
            <w:pPr>
              <w:pStyle w:val="81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</w:t>
            </w:r>
            <w:r/>
          </w:p>
          <w:p>
            <w:pPr>
              <w:pStyle w:val="816"/>
              <w:spacing w:after="0" w:line="240" w:lineRule="auto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      </w:t>
            </w:r>
            <w:r>
              <w:rPr>
                <w:sz w:val="32"/>
                <w:szCs w:val="32"/>
              </w:rPr>
            </w:r>
            <w:r/>
          </w:p>
          <w:p>
            <w:pPr>
              <w:pStyle w:val="816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142196" cy="389208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142196" cy="389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247.4pt;height:306.5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</w:r>
            <w:r/>
          </w:p>
          <w:p>
            <w:pPr>
              <w:pStyle w:val="816"/>
              <w:spacing w:after="0" w:line="240" w:lineRule="auto"/>
              <w:rPr>
                <w:color w:val="ff0000"/>
                <w:sz w:val="40"/>
                <w:szCs w:val="40"/>
              </w:rPr>
            </w:pPr>
            <w:r>
              <w:rPr>
                <w:color w:val="ff0000"/>
                <w:sz w:val="40"/>
                <w:szCs w:val="40"/>
              </w:rPr>
              <w:t xml:space="preserve">                          </w:t>
            </w:r>
            <w:r>
              <w:rPr>
                <w:color w:val="ff0000"/>
                <w:sz w:val="40"/>
                <w:szCs w:val="40"/>
              </w:rPr>
            </w:r>
            <w:r/>
          </w:p>
          <w:p>
            <w:pPr>
              <w:pStyle w:val="816"/>
              <w:jc w:val="center"/>
              <w:spacing w:after="0" w:line="240" w:lineRule="auto"/>
              <w:rPr>
                <w:b/>
                <w:i/>
                <w:color w:val="ff0000"/>
                <w:sz w:val="40"/>
                <w:szCs w:val="40"/>
              </w:rPr>
            </w:pPr>
            <w:r>
              <w:rPr>
                <w:b/>
                <w:i/>
                <w:color w:val="ff0000"/>
                <w:sz w:val="40"/>
                <w:szCs w:val="40"/>
              </w:rPr>
              <w:t xml:space="preserve">- А  Я   ТРЕТИЙ …</w:t>
            </w:r>
            <w:r/>
          </w:p>
          <w:p>
            <w:pPr>
              <w:pStyle w:val="816"/>
              <w:spacing w:after="0" w:line="240" w:lineRule="auto"/>
            </w:pPr>
            <w:r/>
            <w:r/>
          </w:p>
          <w:p>
            <w:pPr>
              <w:pStyle w:val="816"/>
              <w:spacing w:after="0" w:line="240" w:lineRule="auto"/>
            </w:pPr>
            <w:r/>
            <w:r/>
          </w:p>
          <w:p>
            <w:pPr>
              <w:pStyle w:val="816"/>
              <w:spacing w:after="0" w:line="240" w:lineRule="auto"/>
            </w:pPr>
            <w:r/>
            <w:r/>
          </w:p>
          <w:p>
            <w:pPr>
              <w:pStyle w:val="816"/>
              <w:spacing w:after="0" w:line="240" w:lineRule="auto"/>
            </w:pPr>
            <w:r/>
            <w:r/>
          </w:p>
          <w:p>
            <w:pPr>
              <w:pStyle w:val="816"/>
              <w:spacing w:after="0" w:line="240" w:lineRule="auto"/>
            </w:pPr>
            <w:r/>
            <w:r/>
          </w:p>
          <w:p>
            <w:pPr>
              <w:pStyle w:val="816"/>
              <w:spacing w:after="0" w:line="240" w:lineRule="auto"/>
            </w:pPr>
            <w:r/>
            <w:r/>
          </w:p>
          <w:p>
            <w:pPr>
              <w:pStyle w:val="816"/>
              <w:spacing w:after="0" w:line="240" w:lineRule="auto"/>
            </w:pPr>
            <w:r/>
            <w:r/>
          </w:p>
          <w:p>
            <w:pPr>
              <w:pStyle w:val="816"/>
              <w:spacing w:after="0" w:line="240" w:lineRule="auto"/>
            </w:pPr>
            <w:r/>
            <w:r/>
          </w:p>
          <w:p>
            <w:pPr>
              <w:pStyle w:val="816"/>
              <w:spacing w:after="0" w:line="240" w:lineRule="auto"/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1" locked="0" layoutInCell="1" allowOverlap="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109855</wp:posOffset>
                      </wp:positionV>
                      <wp:extent cx="800100" cy="762000"/>
                      <wp:effectExtent l="0" t="0" r="0" b="0"/>
                      <wp:wrapTight wrapText="bothSides">
                        <wp:wrapPolygon edited="1">
                          <wp:start x="8743" y="540"/>
                          <wp:lineTo x="6429" y="1080"/>
                          <wp:lineTo x="1800" y="4050"/>
                          <wp:lineTo x="0" y="9180"/>
                          <wp:lineTo x="257" y="13500"/>
                          <wp:lineTo x="2829" y="18360"/>
                          <wp:lineTo x="6943" y="20790"/>
                          <wp:lineTo x="7714" y="20790"/>
                          <wp:lineTo x="12857" y="20790"/>
                          <wp:lineTo x="13628" y="20790"/>
                          <wp:lineTo x="17743" y="18360"/>
                          <wp:lineTo x="20314" y="13500"/>
                          <wp:lineTo x="20571" y="9180"/>
                          <wp:lineTo x="19029" y="5130"/>
                          <wp:lineTo x="19029" y="4050"/>
                          <wp:lineTo x="14143" y="1080"/>
                          <wp:lineTo x="11829" y="540"/>
                          <wp:lineTo x="8743" y="540"/>
                        </wp:wrapPolygon>
                      </wp:wrapTight>
                      <wp:docPr id="2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001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position:absolute;z-index:-524288;o:allowoverlap:true;o:allowincell:true;mso-position-horizontal-relative:text;margin-left:94.9pt;mso-position-horizontal:absolute;mso-position-vertical-relative:text;margin-top:8.7pt;mso-position-vertical:absolute;width:63.0pt;height:60.0pt;mso-wrap-distance-left:9.0pt;mso-wrap-distance-top:0.0pt;mso-wrap-distance-right:9.0pt;mso-wrap-distance-bottom:0.0pt;" wrapcoords="40477 2500 29764 5000 8333 18750 0 42500 1190 62500 13097 85000 32144 96250 35713 96250 59523 96250 63093 96250 82144 85000 94046 62500 95236 42500 88097 23750 88097 18750 65477 5000 54764 2500 40477 2500" stroked="f">
                      <v:path textboxrect="0,0,0,0"/>
                      <w10:wrap type="tight"/>
                      <v:imagedata r:id="rId10" o:title=""/>
                    </v:shape>
                  </w:pict>
                </mc:Fallback>
              </mc:AlternateContent>
            </w:r>
            <w:r/>
          </w:p>
          <w:p>
            <w:pPr>
              <w:pStyle w:val="816"/>
              <w:spacing w:after="0" w:line="240" w:lineRule="auto"/>
            </w:pPr>
            <w:r/>
            <w:r/>
          </w:p>
          <w:p>
            <w:pPr>
              <w:pStyle w:val="816"/>
              <w:spacing w:after="0" w:line="240" w:lineRule="auto"/>
            </w:pPr>
            <w:r/>
            <w:r/>
          </w:p>
          <w:p>
            <w:pPr>
              <w:pStyle w:val="816"/>
              <w:spacing w:after="0" w:line="240" w:lineRule="auto"/>
            </w:pPr>
            <w:r/>
            <w:r/>
          </w:p>
          <w:p>
            <w:pPr>
              <w:pStyle w:val="816"/>
              <w:jc w:val="center"/>
              <w:spacing w:after="0" w:line="240" w:lineRule="auto"/>
              <w:rPr>
                <w:rFonts w:ascii="Times New Roman" w:hAnsi="Times New Roman" w:cs="Gautami"/>
                <w:i/>
                <w:sz w:val="28"/>
                <w:szCs w:val="28"/>
              </w:rPr>
            </w:pPr>
            <w:r>
              <w:rPr>
                <w:rFonts w:ascii="Times New Roman" w:hAnsi="Times New Roman" w:cs="Gautami"/>
                <w:i/>
                <w:sz w:val="28"/>
                <w:szCs w:val="28"/>
              </w:rPr>
            </w:r>
            <w:r/>
          </w:p>
          <w:p>
            <w:pPr>
              <w:pStyle w:val="816"/>
              <w:jc w:val="center"/>
              <w:spacing w:after="0" w:line="240" w:lineRule="auto"/>
              <w:rPr>
                <w:rFonts w:ascii="Times New Roman" w:hAnsi="Times New Roman" w:cs="Gautami"/>
                <w:i/>
                <w:sz w:val="28"/>
                <w:szCs w:val="28"/>
              </w:rPr>
            </w:pPr>
            <w:r>
              <w:rPr>
                <w:rFonts w:ascii="Times New Roman" w:hAnsi="Times New Roman" w:cs="Gautami"/>
                <w:i/>
                <w:sz w:val="28"/>
                <w:szCs w:val="28"/>
              </w:rPr>
            </w:r>
            <w:r/>
          </w:p>
          <w:p>
            <w:pPr>
              <w:pStyle w:val="816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4"/>
                <w:szCs w:val="24"/>
              </w:rPr>
              <w:t xml:space="preserve">Государственное казенное учреждение </w:t>
            </w:r>
            <w:r>
              <w:rPr>
                <w:rFonts w:ascii="Times New Roman" w:hAnsi="Times New Roman" w:eastAsia="Times New Roman"/>
                <w:b/>
                <w:sz w:val="24"/>
                <w:szCs w:val="24"/>
                <w:lang w:eastAsia="ru-RU"/>
              </w:rPr>
              <w:t xml:space="preserve">Самарской области</w:t>
            </w:r>
            <w:r/>
          </w:p>
          <w:p>
            <w:pPr>
              <w:pStyle w:val="816"/>
              <w:jc w:val="center"/>
              <w:keepNext/>
              <w:spacing w:after="0" w:line="240" w:lineRule="auto"/>
              <w:tabs>
                <w:tab w:val="left" w:pos="5245" w:leader="none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outlineLvl w:val="1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«ГЛАВНОЕ УПРАВЛЕНИЕ СОЦИАЛЬНОЙ ЗАЩИТЫ НАСЕЛЕНИЯ </w:t>
            </w:r>
            <w:r/>
          </w:p>
          <w:p>
            <w:pPr>
              <w:pStyle w:val="816"/>
              <w:jc w:val="center"/>
              <w:keepNext/>
              <w:spacing w:after="0" w:line="240" w:lineRule="auto"/>
              <w:tabs>
                <w:tab w:val="left" w:pos="5245" w:leader="none"/>
              </w:tabs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outlineLvl w:val="1"/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ЮЖНОГО ОКРУГА»</w:t>
            </w:r>
            <w:r/>
          </w:p>
          <w:p>
            <w:pPr>
              <w:pStyle w:val="816"/>
              <w:jc w:val="center"/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</w:rPr>
              <w:t xml:space="preserve">Управление по муниципальному району Большеглушицкий</w:t>
            </w:r>
            <w:r>
              <w:rPr>
                <w:rFonts w:ascii="Times New Roman" w:hAnsi="Times New Roman" w:eastAsia="Times New Roman"/>
                <w:b/>
                <w:sz w:val="20"/>
                <w:lang w:eastAsia="ru-RU"/>
              </w:rPr>
            </w:r>
            <w:r/>
          </w:p>
          <w:p>
            <w:pPr>
              <w:pStyle w:val="816"/>
              <w:spacing w:after="0" w:line="240" w:lineRule="auto"/>
            </w:pPr>
            <w:r/>
            <w:r/>
          </w:p>
          <w:p>
            <w:pPr>
              <w:pStyle w:val="816"/>
              <w:spacing w:after="0" w:line="240" w:lineRule="auto"/>
            </w:pPr>
            <w:r/>
            <w:r/>
          </w:p>
          <w:p>
            <w:pPr>
              <w:pStyle w:val="816"/>
              <w:spacing w:after="0" w:line="240" w:lineRule="auto"/>
              <w:rPr>
                <w:sz w:val="24"/>
                <w:szCs w:val="24"/>
              </w:rPr>
            </w:pPr>
            <w:r>
              <w:t xml:space="preserve">   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6"/>
              <w:jc w:val="center"/>
              <w:spacing w:after="0" w:line="240" w:lineRule="auto"/>
              <w:rPr>
                <w:rFonts w:ascii="Comic Sans MS" w:hAnsi="Comic Sans MS" w:cs="Gautami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Comic Sans MS" w:hAnsi="Comic Sans MS" w:cs="Gautami"/>
                <w:b/>
                <w:i/>
                <w:color w:val="ff0000"/>
                <w:sz w:val="40"/>
                <w:szCs w:val="40"/>
              </w:rPr>
              <w:t xml:space="preserve">Единовременная денежная выплата</w:t>
            </w:r>
            <w:r/>
          </w:p>
          <w:p>
            <w:pPr>
              <w:pStyle w:val="816"/>
              <w:jc w:val="center"/>
              <w:spacing w:after="0" w:line="240" w:lineRule="auto"/>
              <w:rPr>
                <w:rFonts w:ascii="Comic Sans MS" w:hAnsi="Comic Sans MS" w:cs="Gautami"/>
                <w:i/>
                <w:color w:val="ff0000"/>
                <w:sz w:val="40"/>
                <w:szCs w:val="40"/>
              </w:rPr>
            </w:pPr>
            <w:r>
              <w:rPr>
                <w:rFonts w:ascii="Comic Sans MS" w:hAnsi="Comic Sans MS" w:cs="Gautami"/>
                <w:b/>
                <w:i/>
                <w:color w:val="ff0000"/>
                <w:sz w:val="40"/>
                <w:szCs w:val="40"/>
              </w:rPr>
              <w:t xml:space="preserve">(семейный капитал)</w:t>
            </w:r>
            <w:r>
              <w:rPr>
                <w:rFonts w:ascii="Comic Sans MS" w:hAnsi="Comic Sans MS" w:cs="Gautami"/>
                <w:i/>
                <w:color w:val="ff0000"/>
                <w:sz w:val="40"/>
                <w:szCs w:val="40"/>
              </w:rPr>
            </w:r>
            <w:r/>
          </w:p>
          <w:p>
            <w:pPr>
              <w:pStyle w:val="816"/>
              <w:spacing w:after="0" w:line="240" w:lineRule="auto"/>
              <w:rPr>
                <w:rFonts w:ascii="Comic Sans MS" w:hAnsi="Comic Sans MS" w:cs="Gautami"/>
                <w:i/>
                <w:sz w:val="40"/>
                <w:szCs w:val="40"/>
              </w:rPr>
            </w:pPr>
            <w:r>
              <w:rPr>
                <w:rFonts w:ascii="Comic Sans MS" w:hAnsi="Comic Sans MS" w:cs="Gautami"/>
                <w:i/>
                <w:sz w:val="40"/>
                <w:szCs w:val="40"/>
              </w:rPr>
              <w:t xml:space="preserve">          </w:t>
            </w:r>
            <w:r>
              <w:rPr>
                <w:rFonts w:ascii="Comic Sans MS" w:hAnsi="Comic Sans MS" w:cs="Gautami"/>
                <w:i/>
                <w:sz w:val="40"/>
                <w:szCs w:val="40"/>
              </w:rPr>
              <w:t xml:space="preserve">                </w:t>
            </w:r>
            <w:r>
              <w:rPr>
                <w:rFonts w:ascii="Comic Sans MS" w:hAnsi="Comic Sans MS" w:cs="Gautami"/>
                <w:i/>
                <w:sz w:val="40"/>
                <w:szCs w:val="40"/>
              </w:rPr>
            </w:r>
            <w:r/>
          </w:p>
          <w:p>
            <w:pPr>
              <w:pStyle w:val="81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81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81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81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1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816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816"/>
              <w:spacing w:after="0" w:line="240" w:lineRule="auto"/>
              <w:rPr>
                <w:rFonts w:cs="Gautami"/>
                <w:i/>
                <w:sz w:val="28"/>
                <w:szCs w:val="28"/>
              </w:rPr>
            </w:pPr>
            <w:r>
              <w:rPr>
                <w:rFonts w:cs="Gautami"/>
                <w:i/>
                <w:sz w:val="28"/>
                <w:szCs w:val="28"/>
              </w:rPr>
            </w:r>
            <w:r/>
          </w:p>
          <w:p>
            <w:pPr>
              <w:pStyle w:val="816"/>
              <w:spacing w:after="0" w:line="240" w:lineRule="auto"/>
              <w:rPr>
                <w:rFonts w:ascii="Gautami" w:hAnsi="Gautami" w:cs="Gautami"/>
                <w:i/>
                <w:sz w:val="24"/>
                <w:szCs w:val="24"/>
              </w:rPr>
            </w:pPr>
            <w:r>
              <w:rPr>
                <w:rFonts w:ascii="Gautami" w:hAnsi="Gautami" w:cs="Gautami"/>
                <w:i/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  <w:p>
            <w:pPr>
              <w:jc w:val="left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  <w:p>
            <w:pPr>
              <w:jc w:val="left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816"/>
              <w:jc w:val="left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816"/>
              <w:jc w:val="left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816"/>
              <w:jc w:val="center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Закон Самарской области 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16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122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-ГД « О гос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ударственной поддержке граждан,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имеющих детей»</w:t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Основными по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лучател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я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м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и</w:t>
            </w:r>
            <w:r>
              <w:rPr>
                <w:rFonts w:ascii="Times New Roman" w:hAnsi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диновременн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денежн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выплат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(семейный капитал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являются граждане Российской Федерации, постоянно проживающие на территории Самарской области: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енщин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родивши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(усыновивши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третьего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последующих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детей после 30 ноября 2011 г.;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ужчин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единствен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усыновителями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третьего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 или последующих детей,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решение суда об усыновлении вступило в законную силу после 30 ноября 2011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   </w:t>
            </w:r>
            <w:r>
              <w:rPr>
                <w:rFonts w:ascii="Times New Roman" w:hAnsi="Times New Roman"/>
                <w:b/>
              </w:rPr>
              <w:t xml:space="preserve">3</w:t>
            </w:r>
            <w:r>
              <w:rPr>
                <w:rFonts w:ascii="Times New Roman" w:hAnsi="Times New Roman"/>
              </w:rPr>
              <w:t xml:space="preserve">.м</w:t>
            </w:r>
            <w:r>
              <w:rPr>
                <w:rFonts w:ascii="Times New Roman" w:hAnsi="Times New Roman"/>
              </w:rPr>
              <w:t xml:space="preserve">ужчин</w:t>
            </w:r>
            <w:r>
              <w:rPr>
                <w:rFonts w:ascii="Times New Roman" w:hAnsi="Times New Roman"/>
              </w:rPr>
              <w:t xml:space="preserve">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являющи</w:t>
            </w:r>
            <w:r>
              <w:rPr>
                <w:rFonts w:ascii="Times New Roman" w:hAnsi="Times New Roman"/>
              </w:rPr>
              <w:t xml:space="preserve">е</w:t>
            </w:r>
            <w:r>
              <w:rPr>
                <w:rFonts w:ascii="Times New Roman" w:hAnsi="Times New Roman"/>
              </w:rPr>
              <w:t xml:space="preserve">ся отцами (усыновителями) третьего</w:t>
            </w:r>
            <w:r>
              <w:rPr>
                <w:rFonts w:ascii="Times New Roman" w:hAnsi="Times New Roman"/>
              </w:rPr>
              <w:t xml:space="preserve"> ребенка или по</w:t>
            </w:r>
            <w:r>
              <w:rPr>
                <w:rFonts w:ascii="Times New Roman" w:hAnsi="Times New Roman"/>
              </w:rPr>
              <w:t xml:space="preserve">следующих детей, в том случае</w:t>
            </w:r>
            <w:r>
              <w:rPr>
                <w:rFonts w:ascii="Times New Roman" w:hAnsi="Times New Roman"/>
              </w:rPr>
              <w:t xml:space="preserve"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если женщина, </w:t>
            </w:r>
            <w:r>
              <w:rPr>
                <w:rFonts w:ascii="Times New Roman" w:hAnsi="Times New Roman"/>
              </w:rPr>
              <w:t xml:space="preserve">родившая третьего</w:t>
            </w:r>
            <w:r>
              <w:rPr>
                <w:rFonts w:ascii="Times New Roman" w:hAnsi="Times New Roman"/>
              </w:rPr>
              <w:t xml:space="preserve"> ребенка или последующих детей, </w:t>
            </w:r>
            <w:r>
              <w:rPr>
                <w:rFonts w:ascii="Times New Roman" w:hAnsi="Times New Roman"/>
              </w:rPr>
              <w:t xml:space="preserve">не получила семейный капитал</w:t>
            </w:r>
            <w:r>
              <w:rPr>
                <w:rFonts w:ascii="Times New Roman" w:hAnsi="Times New Roman"/>
              </w:rPr>
              <w:t xml:space="preserve"> в случае ее смерти или лишения родительских прав.</w:t>
            </w:r>
            <w:r>
              <w:rPr>
                <w:rFonts w:ascii="Times New Roman" w:hAnsi="Times New Roman"/>
              </w:rPr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Единовременная денежная выплата (семейный капитал) устана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вли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вается в размере 100 000 рублей и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носит компенсационный характер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то ес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ть возмещает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расходы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по следующим 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направлениям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погашение кредита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приобретение жилья (основного долга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(или) уплаты процентов по нему) или компенсация части собственных средств, потраченных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приобретение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жилья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едение ремонта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оплата услуг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содержани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(детей) заявителя в образовательных организациях, реализующих основную общеобразовательную программу дошкольного образования на территории Самарской области;</w:t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ребенком (детьми) заявителя и (или) самим заявителе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платного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</w:t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ессионального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имеющих гос.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аккредитацию и находящихся на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ерритории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ребенком (детьми)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заявителя и (или) самим заявителем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платных медицинских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приобретение транспортного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приобретение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необходимых для ухода и развития детей первого года жизни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(мебель, детская коляска, детская одежда, продукты питания, средства гигиены, детская удерживающая система (устройство)), осуществляется на основании кассовых и (или) товарных чеков, подтверждающих виды и объемы понесенных расходов).</w:t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Обращение за назначением выплаты возможно при достижении третьим ребенком или последующими детьми возраста одного года.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Исключение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составляет предоставление семейного капитала на приобретение предметов,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необходимых для ухода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развития детей первого года жизни. В этом случае обратиться за выплатой можно сразу после рождения ребенка.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Единовременной денежной выплатой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возмещаются только те расходы заявителя, которые возникли у него не более чем за три года до момента обращения за их компенсацией.</w:t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Распоряжение средствами семейного капитал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может осуществляться заявител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одновременно по нескольким направлениям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16"/>
              <w:jc w:val="center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емейный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апита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назначается 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сновании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pStyle w:val="816"/>
              <w:spacing w:after="0" w:line="240" w:lineRule="auto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аявлени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с</w:t>
            </w:r>
            <w:r>
              <w:rPr>
                <w:rFonts w:ascii="Arial" w:hAnsi="Arial" w:cs="Arial"/>
                <w:spacing w:val="2"/>
                <w:sz w:val="21"/>
                <w:szCs w:val="21"/>
                <w:shd w:val="clear" w:color="auto" w:fill="ffffff"/>
              </w:rPr>
              <w:t xml:space="preserve"> 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указанием направлений расходова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-</w:t>
            </w: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* сведений о совместном проживании ребенка (детей) с заявителем;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достоверяющ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личность заявителя;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*- свидетельств о рождении детей;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совместной регистрации по месту жительства заявителя и детей заявитель представляет иные сведения (документы), подтверждающие факт совместного проживания заявителя с детьми (решение суда, договор найма жилого помещения).</w:t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16"/>
              <w:jc w:val="center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ополнительно</w:t>
            </w:r>
            <w:r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предоставляются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следующие документы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в зависимости от выбранного направления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:</w:t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color w:val="0000ff"/>
                <w:sz w:val="24"/>
                <w:szCs w:val="24"/>
                <w:highlight w:val="none"/>
              </w:rPr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приобретение жилого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 купли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родажи жилого помещения; кредитный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договор и квитанции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внесение оплаты по кредиту;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 документ, подтверждающий право собственности на жилое 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возникшее после 01.12.2011 г.</w:t>
            </w:r>
            <w:r>
              <w:t xml:space="preserve">.</w:t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ремонт жилого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помещения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кассовые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товарные чеки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акта о выполненных работах, подтверждающих виды и  (или) объем понесенных расходов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  оплату услуг за  образование и содержание ребенка в образовательной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дошкольного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 на оказание платных образовательных услуг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лицензия на право осуществления образовательной деятельности;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 квитанции об оплате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    </w:t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получение ребенком или самим заявителем платного профессионального образования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оказании платных образовательных услуг;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копия свидетельства о гос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аккредитации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деятельности;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ind w:left="0" w:firstLine="0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кассовые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товарные чеки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приходные кассовые ордера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иные документы</w:t>
            </w:r>
            <w:r>
              <w:t xml:space="preserve">.</w:t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получ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ение платных мед. услуг </w:t>
            </w:r>
            <w:r>
              <w:rPr>
                <w:rFonts w:ascii="Times New Roman" w:hAnsi="Times New Roman"/>
                <w:color w:val="ff0000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ff0000"/>
              </w:rPr>
              <w:t xml:space="preserve">  </w:t>
            </w:r>
            <w:r>
              <w:rPr>
                <w:rFonts w:ascii="Times New Roman" w:hAnsi="Times New Roman"/>
                <w:color w:val="auto"/>
              </w:rPr>
              <w:t xml:space="preserve">-    документ </w:t>
            </w:r>
            <w:r>
              <w:rPr>
                <w:rFonts w:ascii="Times New Roman" w:hAnsi="Times New Roman"/>
                <w:color w:val="auto"/>
              </w:rPr>
              <w:t xml:space="preserve">медорганизации</w:t>
            </w:r>
            <w:r>
              <w:rPr>
                <w:rFonts w:ascii="Times New Roman" w:hAnsi="Times New Roman"/>
                <w:color w:val="auto"/>
              </w:rPr>
              <w:t xml:space="preserve"> о получ</w:t>
            </w:r>
            <w:r>
              <w:rPr>
                <w:rFonts w:ascii="Times New Roman" w:hAnsi="Times New Roman"/>
                <w:color w:val="auto"/>
              </w:rPr>
              <w:t xml:space="preserve">ении платных медицинских услуг;</w:t>
            </w:r>
            <w:r>
              <w:rPr>
                <w:color w:val="auto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- * </w:t>
            </w:r>
            <w:r>
              <w:rPr>
                <w:rFonts w:ascii="Times New Roman" w:hAnsi="Times New Roman"/>
                <w:color w:val="auto"/>
              </w:rPr>
              <w:t xml:space="preserve">сведения о наличии   ИП реабилитации (абилитации)</w:t>
            </w:r>
            <w:r>
              <w:rPr>
                <w:rFonts w:ascii="Times New Roman" w:hAnsi="Times New Roman"/>
                <w:color w:val="auto"/>
              </w:rPr>
              <w:t xml:space="preserve"> и о содержащихся в ней мероприятий;</w:t>
            </w:r>
            <w:r>
              <w:rPr>
                <w:rFonts w:ascii="Times New Roman" w:hAnsi="Times New Roman"/>
                <w:color w:val="auto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- документы,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 xml:space="preserve">подтвержда</w:t>
            </w:r>
            <w:r>
              <w:rPr>
                <w:rFonts w:ascii="Times New Roman" w:hAnsi="Times New Roman"/>
                <w:color w:val="auto"/>
              </w:rPr>
              <w:t xml:space="preserve">ю</w:t>
            </w:r>
            <w:r>
              <w:rPr>
                <w:rFonts w:ascii="Times New Roman" w:hAnsi="Times New Roman"/>
                <w:color w:val="auto"/>
              </w:rPr>
              <w:t xml:space="preserve">щие вид и объем понесенных </w:t>
            </w:r>
            <w:r>
              <w:rPr>
                <w:rFonts w:ascii="Times New Roman" w:hAnsi="Times New Roman"/>
                <w:color w:val="auto"/>
              </w:rPr>
              <w:t xml:space="preserve">расходов, связанных с реализацией ИПР</w:t>
            </w:r>
            <w:r>
              <w:rPr>
                <w:rFonts w:ascii="Times New Roman" w:hAnsi="Times New Roman"/>
                <w:color w:val="auto"/>
              </w:rPr>
              <w:t xml:space="preserve">;</w:t>
            </w:r>
            <w:r>
              <w:rPr>
                <w:rFonts w:ascii="Times New Roman" w:hAnsi="Times New Roman"/>
                <w:color w:val="auto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-</w:t>
            </w:r>
            <w:r>
              <w:rPr>
                <w:rFonts w:ascii="Times New Roman" w:hAnsi="Times New Roman"/>
                <w:color w:val="auto"/>
              </w:rPr>
              <w:t xml:space="preserve"> * заключение </w:t>
            </w:r>
            <w:r>
              <w:rPr>
                <w:rFonts w:ascii="Times New Roman" w:hAnsi="Times New Roman"/>
                <w:color w:val="auto"/>
              </w:rPr>
              <w:t xml:space="preserve">медорганизации</w:t>
            </w:r>
            <w:r>
              <w:rPr>
                <w:rFonts w:ascii="Times New Roman" w:hAnsi="Times New Roman"/>
                <w:color w:val="auto"/>
              </w:rPr>
              <w:t xml:space="preserve"> о нуждаемости в </w:t>
            </w:r>
            <w:r>
              <w:rPr>
                <w:rFonts w:ascii="Times New Roman" w:hAnsi="Times New Roman"/>
                <w:color w:val="auto"/>
              </w:rPr>
              <w:t xml:space="preserve"> ТСР</w:t>
            </w:r>
            <w:r>
              <w:rPr>
                <w:rFonts w:ascii="Times New Roman" w:hAnsi="Times New Roman"/>
                <w:color w:val="auto"/>
              </w:rPr>
              <w:t xml:space="preserve">;</w:t>
            </w:r>
            <w:r>
              <w:rPr>
                <w:rFonts w:ascii="Times New Roman" w:hAnsi="Times New Roman"/>
                <w:color w:val="auto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- * документоы,</w:t>
            </w:r>
            <w:r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 xml:space="preserve">подтверждающ</w:t>
            </w:r>
            <w:r>
              <w:rPr>
                <w:rFonts w:ascii="Times New Roman" w:hAnsi="Times New Roman"/>
                <w:color w:val="auto"/>
              </w:rPr>
              <w:t xml:space="preserve">ие</w:t>
            </w:r>
            <w:r>
              <w:rPr>
                <w:rFonts w:ascii="Times New Roman" w:hAnsi="Times New Roman"/>
                <w:color w:val="auto"/>
              </w:rPr>
              <w:t xml:space="preserve"> вид и объем понесенных расходов</w:t>
            </w:r>
            <w:r>
              <w:rPr>
                <w:rFonts w:ascii="Times New Roman" w:hAnsi="Times New Roman"/>
                <w:color w:val="auto"/>
              </w:rPr>
              <w:t xml:space="preserve"> на указанные ТСР</w:t>
            </w:r>
            <w:r>
              <w:rPr>
                <w:color w:val="auto"/>
              </w:rPr>
              <w:t xml:space="preserve">.</w:t>
            </w:r>
            <w:r>
              <w:rPr>
                <w:color w:val="auto"/>
              </w:rPr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6.н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 приобретение транспортного средства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паспорт транспортного средства;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договор купли-продажи транспортного средства; 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кассовые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товарные чеки, приходные кассовые ордера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иные документы.</w:t>
            </w:r>
            <w:r/>
          </w:p>
          <w:p>
            <w:pPr>
              <w:pStyle w:val="816"/>
              <w:jc w:val="both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</w:tbl>
    <w:sectPr>
      <w:footnotePr/>
      <w:endnotePr/>
      <w:type w:val="nextPage"/>
      <w:pgSz w:w="16838" w:h="11906" w:orient="landscape"/>
      <w:pgMar w:top="283" w:right="283" w:bottom="283" w:left="567" w:header="709" w:footer="709" w:gutter="0"/>
      <w:cols w:num="3" w:sep="0" w:space="31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</w:font>
  <w:font w:name="Gautami">
    <w:panose1 w:val="020B05020405040202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4030504040204"/>
  </w:font>
  <w:font w:name="Century">
    <w:panose1 w:val="020606060506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6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16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16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16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16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16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16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16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16"/>
        <w:ind w:left="6828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6"/>
    <w:next w:val="816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6"/>
    <w:next w:val="816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6"/>
    <w:next w:val="816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List Paragraph"/>
    <w:basedOn w:val="816"/>
    <w:uiPriority w:val="34"/>
    <w:qFormat/>
    <w:pPr>
      <w:contextualSpacing/>
      <w:ind w:left="720"/>
    </w:pPr>
  </w:style>
  <w:style w:type="paragraph" w:styleId="657">
    <w:name w:val="No Spacing"/>
    <w:uiPriority w:val="1"/>
    <w:qFormat/>
    <w:pPr>
      <w:spacing w:before="0" w:after="0" w:line="240" w:lineRule="auto"/>
    </w:pPr>
  </w:style>
  <w:style w:type="paragraph" w:styleId="658">
    <w:name w:val="Title"/>
    <w:basedOn w:val="816"/>
    <w:next w:val="816"/>
    <w:link w:val="65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9">
    <w:name w:val="Title Char"/>
    <w:link w:val="658"/>
    <w:uiPriority w:val="10"/>
    <w:rPr>
      <w:sz w:val="48"/>
      <w:szCs w:val="48"/>
    </w:rPr>
  </w:style>
  <w:style w:type="paragraph" w:styleId="660">
    <w:name w:val="Subtitle"/>
    <w:basedOn w:val="816"/>
    <w:next w:val="816"/>
    <w:link w:val="661"/>
    <w:uiPriority w:val="11"/>
    <w:qFormat/>
    <w:pPr>
      <w:spacing w:before="200" w:after="200"/>
    </w:pPr>
    <w:rPr>
      <w:sz w:val="24"/>
      <w:szCs w:val="24"/>
    </w:rPr>
  </w:style>
  <w:style w:type="character" w:styleId="661">
    <w:name w:val="Subtitle Char"/>
    <w:link w:val="660"/>
    <w:uiPriority w:val="11"/>
    <w:rPr>
      <w:sz w:val="24"/>
      <w:szCs w:val="24"/>
    </w:rPr>
  </w:style>
  <w:style w:type="paragraph" w:styleId="662">
    <w:name w:val="Quote"/>
    <w:basedOn w:val="816"/>
    <w:next w:val="816"/>
    <w:link w:val="663"/>
    <w:uiPriority w:val="29"/>
    <w:qFormat/>
    <w:pPr>
      <w:ind w:left="720" w:right="720"/>
    </w:pPr>
    <w:rPr>
      <w:i/>
    </w:rPr>
  </w:style>
  <w:style w:type="character" w:styleId="663">
    <w:name w:val="Quote Char"/>
    <w:link w:val="662"/>
    <w:uiPriority w:val="29"/>
    <w:rPr>
      <w:i/>
    </w:rPr>
  </w:style>
  <w:style w:type="paragraph" w:styleId="664">
    <w:name w:val="Intense Quote"/>
    <w:basedOn w:val="816"/>
    <w:next w:val="816"/>
    <w:link w:val="66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5">
    <w:name w:val="Intense Quote Char"/>
    <w:link w:val="664"/>
    <w:uiPriority w:val="30"/>
    <w:rPr>
      <w:i/>
    </w:rPr>
  </w:style>
  <w:style w:type="paragraph" w:styleId="666">
    <w:name w:val="Header"/>
    <w:basedOn w:val="816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Header Char"/>
    <w:link w:val="666"/>
    <w:uiPriority w:val="99"/>
  </w:style>
  <w:style w:type="paragraph" w:styleId="668">
    <w:name w:val="Footer"/>
    <w:basedOn w:val="816"/>
    <w:link w:val="67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9">
    <w:name w:val="Footer Char"/>
    <w:link w:val="668"/>
    <w:uiPriority w:val="99"/>
  </w:style>
  <w:style w:type="paragraph" w:styleId="670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1">
    <w:name w:val="Caption Char"/>
    <w:basedOn w:val="670"/>
    <w:link w:val="668"/>
    <w:uiPriority w:val="99"/>
  </w:style>
  <w:style w:type="table" w:styleId="67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8">
    <w:name w:val="Hyperlink"/>
    <w:uiPriority w:val="99"/>
    <w:unhideWhenUsed/>
    <w:rPr>
      <w:color w:val="0000ff" w:themeColor="hyperlink"/>
      <w:u w:val="single"/>
    </w:r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next w:val="816"/>
    <w:link w:val="816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817">
    <w:name w:val="Основной шрифт абзаца"/>
    <w:next w:val="817"/>
    <w:link w:val="816"/>
    <w:uiPriority w:val="1"/>
    <w:semiHidden/>
    <w:unhideWhenUsed/>
  </w:style>
  <w:style w:type="table" w:styleId="818">
    <w:name w:val="Обычная таблица"/>
    <w:next w:val="818"/>
    <w:link w:val="816"/>
    <w:uiPriority w:val="99"/>
    <w:semiHidden/>
    <w:unhideWhenUsed/>
    <w:qFormat/>
    <w:tblPr/>
  </w:style>
  <w:style w:type="numbering" w:styleId="819">
    <w:name w:val="Нет списка"/>
    <w:next w:val="819"/>
    <w:link w:val="816"/>
    <w:uiPriority w:val="99"/>
    <w:semiHidden/>
    <w:unhideWhenUsed/>
  </w:style>
  <w:style w:type="table" w:styleId="820">
    <w:name w:val="Сетка таблицы"/>
    <w:basedOn w:val="818"/>
    <w:next w:val="820"/>
    <w:link w:val="816"/>
    <w:uiPriority w:val="59"/>
    <w:pPr>
      <w:spacing w:after="0" w:line="240" w:lineRule="auto"/>
    </w:pPr>
    <w:tblPr/>
  </w:style>
  <w:style w:type="paragraph" w:styleId="821">
    <w:name w:val="Текст выноски"/>
    <w:basedOn w:val="816"/>
    <w:next w:val="821"/>
    <w:link w:val="822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character" w:styleId="822">
    <w:name w:val="Текст выноски Знак"/>
    <w:next w:val="822"/>
    <w:link w:val="821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823">
    <w:name w:val="ConsPlusNormal"/>
    <w:next w:val="823"/>
    <w:link w:val="816"/>
    <w:pPr>
      <w:widowControl w:val="off"/>
    </w:pPr>
    <w:rPr>
      <w:rFonts w:cs="Calibri"/>
      <w:sz w:val="22"/>
      <w:lang w:val="ru-RU" w:eastAsia="ru-RU" w:bidi="ar-SA"/>
    </w:rPr>
  </w:style>
  <w:style w:type="paragraph" w:styleId="824">
    <w:name w:val="Абзац списка"/>
    <w:basedOn w:val="816"/>
    <w:next w:val="824"/>
    <w:link w:val="816"/>
    <w:uiPriority w:val="34"/>
    <w:qFormat/>
    <w:pPr>
      <w:contextualSpacing/>
      <w:ind w:left="720"/>
      <w:spacing w:after="160" w:line="259" w:lineRule="auto"/>
    </w:pPr>
    <w:rPr>
      <w:rFonts w:ascii="Calibri" w:hAnsi="Calibri" w:eastAsia="Calibri" w:cs="Times New Roman"/>
      <w:lang w:eastAsia="ru-RU"/>
    </w:rPr>
  </w:style>
  <w:style w:type="character" w:styleId="825" w:default="1">
    <w:name w:val="Default Paragraph Font"/>
    <w:uiPriority w:val="1"/>
    <w:semiHidden/>
    <w:unhideWhenUsed/>
  </w:style>
  <w:style w:type="numbering" w:styleId="826" w:default="1">
    <w:name w:val="No List"/>
    <w:uiPriority w:val="99"/>
    <w:semiHidden/>
    <w:unhideWhenUsed/>
  </w:style>
  <w:style w:type="table" w:styleId="82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</dc:title>
  <dc:creator>User</dc:creator>
  <cp:revision>16</cp:revision>
  <dcterms:created xsi:type="dcterms:W3CDTF">2021-01-21T08:51:00Z</dcterms:created>
  <dcterms:modified xsi:type="dcterms:W3CDTF">2023-02-06T11:51:29Z</dcterms:modified>
  <cp:version>786432</cp:version>
</cp:coreProperties>
</file>