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E52514">
        <w:rPr>
          <w:rFonts w:ascii="Times New Roman" w:hAnsi="Times New Roman" w:cs="Times New Roman"/>
          <w:b/>
          <w:sz w:val="28"/>
          <w:szCs w:val="28"/>
        </w:rPr>
        <w:t>Что такое конфликт интересов</w:t>
      </w:r>
      <w:bookmarkEnd w:id="0"/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514" w:rsidRPr="00E52514" w:rsidRDefault="005554FA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E52514" w:rsidRPr="00E52514">
        <w:rPr>
          <w:rFonts w:ascii="Times New Roman" w:hAnsi="Times New Roman" w:cs="Times New Roman"/>
          <w:sz w:val="28"/>
          <w:szCs w:val="26"/>
        </w:rPr>
        <w:t>Федеральным законом от 25.12.2008 № 273-ФЗ «О противодействии коррупции» (далее – Закон) установлено понятие конфликта интересов.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Так, 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При этом,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Законом определён и значительный круг лиц, на которых возложена обязанность принимать меры по предотвращению и урегулированию конфликта интересов, в том числе это: государственные и муниципальные служащие, лица, замещающие государственные должности Российской Федерации и должности субъекта федерации и муниципальные должности.</w:t>
      </w:r>
    </w:p>
    <w:p w:rsidR="00A62B11" w:rsidRPr="00B90F2D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52514">
        <w:rPr>
          <w:rFonts w:ascii="Times New Roman" w:hAnsi="Times New Roman" w:cs="Times New Roman"/>
          <w:sz w:val="28"/>
          <w:szCs w:val="26"/>
        </w:rPr>
        <w:t>Следует отметить, что непринятие указанными лицами, являющимися стороной конфликта интересов, мер по предотвращению или урегулированию конфликта интересов, 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4A391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2514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2D9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Пр_Хворостянского рн. Абрамов Алексей Викторович</dc:creator>
  <cp:lastModifiedBy>Сорокин Алексей Александрович</cp:lastModifiedBy>
  <cp:revision>2</cp:revision>
  <cp:lastPrinted>2021-11-15T13:04:00Z</cp:lastPrinted>
  <dcterms:created xsi:type="dcterms:W3CDTF">2023-03-30T13:08:00Z</dcterms:created>
  <dcterms:modified xsi:type="dcterms:W3CDTF">2023-03-30T13:08:00Z</dcterms:modified>
</cp:coreProperties>
</file>